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FB64" w14:textId="77777777" w:rsidR="00B521C4" w:rsidRDefault="00B521C4" w:rsidP="00B521C4">
      <w:pPr>
        <w:pStyle w:val="Default"/>
      </w:pPr>
    </w:p>
    <w:p w14:paraId="18A911FC" w14:textId="77777777" w:rsidR="00B521C4" w:rsidRDefault="00B521C4" w:rsidP="00B521C4">
      <w:pPr>
        <w:pStyle w:val="Default"/>
      </w:pPr>
    </w:p>
    <w:p w14:paraId="29239E2E" w14:textId="77777777" w:rsidR="00B521C4" w:rsidRDefault="006C1BD2" w:rsidP="00B521C4">
      <w:pPr>
        <w:pStyle w:val="Default"/>
      </w:pPr>
      <w:r>
        <w:rPr>
          <w:noProof/>
        </w:rPr>
        <w:drawing>
          <wp:inline distT="0" distB="0" distL="0" distR="0" wp14:anchorId="4C2BF0AC" wp14:editId="4CBCE0E2">
            <wp:extent cx="5731510" cy="41268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HWGAp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815F0" w14:textId="77777777" w:rsidR="00B521C4" w:rsidRDefault="00B521C4" w:rsidP="00B521C4">
      <w:pPr>
        <w:pStyle w:val="Default"/>
      </w:pPr>
    </w:p>
    <w:p w14:paraId="57EE801D" w14:textId="77777777" w:rsidR="00B521C4" w:rsidRDefault="00B521C4" w:rsidP="00B521C4">
      <w:pPr>
        <w:pStyle w:val="Default"/>
      </w:pPr>
    </w:p>
    <w:p w14:paraId="73B5AFE6" w14:textId="77777777" w:rsidR="00B521C4" w:rsidRDefault="00B521C4" w:rsidP="00B521C4">
      <w:pPr>
        <w:pStyle w:val="Default"/>
      </w:pPr>
    </w:p>
    <w:p w14:paraId="1C2A02D1" w14:textId="77777777" w:rsidR="00B521C4" w:rsidRDefault="00B521C4" w:rsidP="00B521C4">
      <w:pPr>
        <w:pStyle w:val="Default"/>
      </w:pPr>
    </w:p>
    <w:p w14:paraId="12BAD3EF" w14:textId="77777777" w:rsidR="00B521C4" w:rsidRDefault="00B521C4" w:rsidP="00B521C4">
      <w:pPr>
        <w:pStyle w:val="Default"/>
      </w:pPr>
    </w:p>
    <w:p w14:paraId="246140A8" w14:textId="77777777" w:rsidR="00B521C4" w:rsidRDefault="00B521C4" w:rsidP="00B521C4">
      <w:pPr>
        <w:pStyle w:val="Default"/>
      </w:pPr>
    </w:p>
    <w:p w14:paraId="41FA35C9" w14:textId="77777777" w:rsidR="00B521C4" w:rsidRDefault="00B521C4" w:rsidP="00B521C4">
      <w:pPr>
        <w:pStyle w:val="Default"/>
      </w:pPr>
    </w:p>
    <w:p w14:paraId="36EE482C" w14:textId="77777777" w:rsidR="00B521C4" w:rsidRDefault="00B521C4" w:rsidP="00B521C4">
      <w:pPr>
        <w:pStyle w:val="Default"/>
      </w:pPr>
    </w:p>
    <w:p w14:paraId="6E5385E4" w14:textId="77777777" w:rsidR="00B521C4" w:rsidRDefault="00B521C4" w:rsidP="00B521C4">
      <w:pPr>
        <w:pStyle w:val="Default"/>
      </w:pPr>
    </w:p>
    <w:p w14:paraId="154467BA" w14:textId="77777777" w:rsidR="00B521C4" w:rsidRDefault="00B521C4" w:rsidP="00B521C4">
      <w:pPr>
        <w:pStyle w:val="Default"/>
      </w:pPr>
    </w:p>
    <w:p w14:paraId="7C4C139F" w14:textId="77777777" w:rsidR="00B521C4" w:rsidRDefault="00B521C4" w:rsidP="00B521C4">
      <w:pPr>
        <w:pStyle w:val="Default"/>
      </w:pPr>
    </w:p>
    <w:p w14:paraId="0D99BECA" w14:textId="77777777" w:rsidR="00B521C4" w:rsidRDefault="00B521C4" w:rsidP="00B521C4">
      <w:pPr>
        <w:pStyle w:val="Default"/>
      </w:pPr>
    </w:p>
    <w:p w14:paraId="5E3900F4" w14:textId="77777777" w:rsidR="00B521C4" w:rsidRDefault="00B521C4" w:rsidP="00B521C4">
      <w:pPr>
        <w:pStyle w:val="Default"/>
      </w:pPr>
    </w:p>
    <w:p w14:paraId="4BE68BF9" w14:textId="77777777" w:rsidR="00B521C4" w:rsidRDefault="00B521C4" w:rsidP="00B521C4">
      <w:pPr>
        <w:pStyle w:val="Default"/>
      </w:pPr>
    </w:p>
    <w:p w14:paraId="6694A88B" w14:textId="77777777" w:rsidR="00B521C4" w:rsidRDefault="00B521C4" w:rsidP="00B521C4">
      <w:pPr>
        <w:pStyle w:val="Default"/>
      </w:pPr>
    </w:p>
    <w:p w14:paraId="7012DB92" w14:textId="77777777" w:rsidR="00B521C4" w:rsidRDefault="00B521C4" w:rsidP="00B521C4">
      <w:pPr>
        <w:pStyle w:val="Default"/>
      </w:pPr>
    </w:p>
    <w:p w14:paraId="1E7E72A4" w14:textId="77777777" w:rsidR="00B521C4" w:rsidRDefault="00B521C4" w:rsidP="00B521C4">
      <w:pPr>
        <w:pStyle w:val="Default"/>
      </w:pPr>
    </w:p>
    <w:p w14:paraId="7400C821" w14:textId="77777777" w:rsidR="00B521C4" w:rsidRDefault="00B521C4" w:rsidP="00B521C4">
      <w:pPr>
        <w:pStyle w:val="Default"/>
      </w:pPr>
    </w:p>
    <w:p w14:paraId="5D0A8FED" w14:textId="77777777" w:rsidR="00B521C4" w:rsidRDefault="00B521C4" w:rsidP="00B521C4">
      <w:pPr>
        <w:pStyle w:val="Default"/>
      </w:pPr>
    </w:p>
    <w:p w14:paraId="79404D56" w14:textId="77777777" w:rsidR="00B521C4" w:rsidRDefault="00B521C4" w:rsidP="00B521C4">
      <w:pPr>
        <w:pStyle w:val="Default"/>
      </w:pPr>
    </w:p>
    <w:p w14:paraId="32E3DF11" w14:textId="77777777" w:rsidR="00B521C4" w:rsidRDefault="00B521C4" w:rsidP="00B521C4">
      <w:pPr>
        <w:pStyle w:val="Default"/>
      </w:pPr>
    </w:p>
    <w:p w14:paraId="6AF16EB5" w14:textId="77777777" w:rsidR="00B521C4" w:rsidRDefault="00B521C4" w:rsidP="00B521C4">
      <w:pPr>
        <w:pStyle w:val="Default"/>
      </w:pPr>
    </w:p>
    <w:p w14:paraId="4B31064C" w14:textId="77777777" w:rsidR="00B521C4" w:rsidRDefault="00B521C4" w:rsidP="00B521C4">
      <w:pPr>
        <w:pStyle w:val="Default"/>
      </w:pPr>
    </w:p>
    <w:p w14:paraId="32CB64DB" w14:textId="77777777" w:rsidR="00B521C4" w:rsidRDefault="00B521C4" w:rsidP="00B521C4">
      <w:pPr>
        <w:pStyle w:val="Default"/>
      </w:pPr>
      <w:r>
        <w:lastRenderedPageBreak/>
        <w:t xml:space="preserve"> </w:t>
      </w:r>
    </w:p>
    <w:p w14:paraId="3FE8F7D5" w14:textId="77777777" w:rsidR="00B521C4" w:rsidRPr="00A010BC" w:rsidRDefault="00B521C4" w:rsidP="00B521C4">
      <w:pPr>
        <w:pStyle w:val="Default"/>
        <w:rPr>
          <w:rFonts w:asciiTheme="minorHAnsi" w:hAnsiTheme="minorHAnsi"/>
        </w:rPr>
      </w:pPr>
    </w:p>
    <w:p w14:paraId="67786AC9" w14:textId="77777777" w:rsidR="00B521C4" w:rsidRPr="00A010BC" w:rsidRDefault="00AA0424" w:rsidP="00A010BC">
      <w:pPr>
        <w:pStyle w:val="Default"/>
        <w:jc w:val="center"/>
        <w:rPr>
          <w:rFonts w:asciiTheme="minorHAnsi" w:hAnsiTheme="minorHAnsi"/>
          <w:sz w:val="48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 xml:space="preserve">King Edward VI </w:t>
      </w:r>
      <w:r w:rsidR="00B521C4" w:rsidRPr="00A010BC">
        <w:rPr>
          <w:rFonts w:asciiTheme="minorHAnsi" w:hAnsiTheme="minorHAnsi"/>
          <w:b/>
          <w:bCs/>
          <w:sz w:val="44"/>
          <w:szCs w:val="44"/>
        </w:rPr>
        <w:t>Handsworth Wood Girls’ Academy</w:t>
      </w:r>
    </w:p>
    <w:p w14:paraId="11A59B02" w14:textId="77777777" w:rsidR="00B521C4" w:rsidRPr="00A010BC" w:rsidRDefault="00B521C4" w:rsidP="00B521C4">
      <w:pPr>
        <w:pStyle w:val="Default"/>
        <w:jc w:val="center"/>
        <w:rPr>
          <w:rFonts w:asciiTheme="minorHAnsi" w:hAnsiTheme="minorHAnsi"/>
          <w:b/>
          <w:bCs/>
          <w:sz w:val="52"/>
          <w:szCs w:val="48"/>
        </w:rPr>
      </w:pPr>
    </w:p>
    <w:p w14:paraId="1938441E" w14:textId="77777777" w:rsidR="00B521C4" w:rsidRPr="00A010BC" w:rsidRDefault="00B521C4" w:rsidP="00B521C4">
      <w:pPr>
        <w:pStyle w:val="Default"/>
        <w:jc w:val="center"/>
        <w:rPr>
          <w:rFonts w:asciiTheme="minorHAnsi" w:hAnsiTheme="minorHAnsi"/>
          <w:b/>
          <w:bCs/>
          <w:sz w:val="48"/>
          <w:szCs w:val="48"/>
        </w:rPr>
      </w:pPr>
      <w:r w:rsidRPr="00A010BC">
        <w:rPr>
          <w:rFonts w:asciiTheme="minorHAnsi" w:hAnsiTheme="minorHAnsi"/>
          <w:b/>
          <w:bCs/>
          <w:sz w:val="48"/>
          <w:szCs w:val="48"/>
        </w:rPr>
        <w:t>CEIAG Policy</w:t>
      </w:r>
    </w:p>
    <w:p w14:paraId="1E99E2B4" w14:textId="77777777" w:rsidR="00B521C4" w:rsidRPr="00A010BC" w:rsidRDefault="00B521C4" w:rsidP="00B521C4">
      <w:pPr>
        <w:pStyle w:val="Default"/>
        <w:jc w:val="center"/>
        <w:rPr>
          <w:rFonts w:asciiTheme="minorHAnsi" w:hAnsiTheme="minorHAnsi"/>
          <w:sz w:val="52"/>
          <w:szCs w:val="48"/>
        </w:rPr>
      </w:pPr>
    </w:p>
    <w:p w14:paraId="109AE8E3" w14:textId="77777777" w:rsidR="0077621A" w:rsidRPr="00A010BC" w:rsidRDefault="006C1BD2" w:rsidP="00B521C4">
      <w:pPr>
        <w:jc w:val="center"/>
        <w:rPr>
          <w:b/>
          <w:bCs/>
          <w:sz w:val="52"/>
          <w:szCs w:val="48"/>
        </w:rPr>
      </w:pPr>
      <w:r>
        <w:rPr>
          <w:b/>
          <w:bCs/>
          <w:sz w:val="52"/>
          <w:szCs w:val="48"/>
        </w:rPr>
        <w:t>November 2020</w:t>
      </w:r>
    </w:p>
    <w:p w14:paraId="21E5099C" w14:textId="77777777" w:rsidR="00B521C4" w:rsidRPr="00A010BC" w:rsidRDefault="00B521C4" w:rsidP="00B521C4">
      <w:pPr>
        <w:jc w:val="center"/>
        <w:rPr>
          <w:b/>
          <w:bCs/>
          <w:sz w:val="52"/>
          <w:szCs w:val="48"/>
        </w:rPr>
      </w:pPr>
    </w:p>
    <w:p w14:paraId="6AAE618A" w14:textId="77777777" w:rsidR="00B521C4" w:rsidRDefault="00B521C4" w:rsidP="00B521C4">
      <w:pPr>
        <w:jc w:val="center"/>
        <w:rPr>
          <w:b/>
          <w:bCs/>
          <w:sz w:val="52"/>
          <w:szCs w:val="48"/>
        </w:rPr>
      </w:pPr>
    </w:p>
    <w:p w14:paraId="3EE0C9FE" w14:textId="77777777" w:rsidR="000D6648" w:rsidRDefault="000D6648" w:rsidP="00B521C4">
      <w:pPr>
        <w:autoSpaceDE w:val="0"/>
        <w:autoSpaceDN w:val="0"/>
        <w:adjustRightInd w:val="0"/>
        <w:spacing w:after="0" w:line="240" w:lineRule="auto"/>
        <w:rPr>
          <w:b/>
          <w:bCs/>
          <w:sz w:val="52"/>
          <w:szCs w:val="48"/>
        </w:rPr>
      </w:pPr>
    </w:p>
    <w:p w14:paraId="50B1ED77" w14:textId="77777777" w:rsidR="00B521C4" w:rsidRPr="00B521C4" w:rsidRDefault="006C1BD2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28"/>
        </w:rPr>
      </w:pPr>
      <w:r>
        <w:rPr>
          <w:rFonts w:cs="Calibri"/>
          <w:b/>
          <w:bCs/>
          <w:color w:val="000000"/>
          <w:sz w:val="32"/>
          <w:szCs w:val="28"/>
        </w:rPr>
        <w:t xml:space="preserve">King Edward VI </w:t>
      </w:r>
      <w:r w:rsidR="006342A3">
        <w:rPr>
          <w:rFonts w:cs="Calibri"/>
          <w:b/>
          <w:bCs/>
          <w:color w:val="000000"/>
          <w:sz w:val="32"/>
          <w:szCs w:val="28"/>
        </w:rPr>
        <w:t>Handsworth Wood Girls’ Academy</w:t>
      </w:r>
      <w:r w:rsidR="00B521C4" w:rsidRPr="00B521C4">
        <w:rPr>
          <w:rFonts w:cs="Calibri"/>
          <w:b/>
          <w:bCs/>
          <w:color w:val="000000"/>
          <w:sz w:val="32"/>
          <w:szCs w:val="28"/>
        </w:rPr>
        <w:t xml:space="preserve"> </w:t>
      </w:r>
    </w:p>
    <w:p w14:paraId="54EFC00D" w14:textId="77777777"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2"/>
          <w:szCs w:val="28"/>
        </w:rPr>
      </w:pPr>
      <w:r w:rsidRPr="00B521C4">
        <w:rPr>
          <w:rFonts w:cs="Calibri"/>
          <w:b/>
          <w:bCs/>
          <w:color w:val="000000"/>
          <w:sz w:val="32"/>
          <w:szCs w:val="28"/>
        </w:rPr>
        <w:t xml:space="preserve">Policy for Careers Education, Information, Advice and Guidance (CEIAG) </w:t>
      </w:r>
    </w:p>
    <w:p w14:paraId="0CA79A0D" w14:textId="77777777"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28"/>
        </w:rPr>
      </w:pPr>
    </w:p>
    <w:p w14:paraId="14CDAAB5" w14:textId="77777777"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  <w:r w:rsidRPr="00B521C4">
        <w:rPr>
          <w:rFonts w:cs="Calibri"/>
          <w:b/>
          <w:bCs/>
          <w:color w:val="000000"/>
          <w:sz w:val="28"/>
          <w:szCs w:val="28"/>
        </w:rPr>
        <w:t xml:space="preserve">Introduction </w:t>
      </w:r>
    </w:p>
    <w:p w14:paraId="311AAE42" w14:textId="77777777"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28"/>
        </w:rPr>
      </w:pPr>
    </w:p>
    <w:p w14:paraId="679BDEE9" w14:textId="2B5DD891" w:rsidR="00B521C4" w:rsidRDefault="006408AC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>
        <w:rPr>
          <w:rFonts w:cs="Calibri"/>
          <w:color w:val="000000"/>
          <w:sz w:val="24"/>
          <w:szCs w:val="23"/>
        </w:rPr>
        <w:t xml:space="preserve">The careers programme at King Edward VI Handsworth Wood Girls’ Academy (KEVI HWGA hereafter) aims to encourage our </w:t>
      </w:r>
      <w:r w:rsidR="00494B7C">
        <w:rPr>
          <w:rFonts w:cs="Calibri"/>
          <w:color w:val="000000"/>
          <w:sz w:val="24"/>
          <w:szCs w:val="23"/>
        </w:rPr>
        <w:t>learners</w:t>
      </w:r>
      <w:r>
        <w:rPr>
          <w:rFonts w:cs="Calibri"/>
          <w:color w:val="000000"/>
          <w:sz w:val="24"/>
          <w:szCs w:val="23"/>
        </w:rPr>
        <w:t xml:space="preserve"> to be aspirational and ambitious in their career goals</w:t>
      </w:r>
      <w:r w:rsidR="00171059">
        <w:rPr>
          <w:rFonts w:cs="Calibri"/>
          <w:color w:val="000000"/>
          <w:sz w:val="24"/>
          <w:szCs w:val="23"/>
        </w:rPr>
        <w:t xml:space="preserve">, in line with the High Performance Learning approach taken to teaching and learning at the </w:t>
      </w:r>
      <w:r w:rsidR="006062BD">
        <w:rPr>
          <w:rFonts w:cs="Calibri"/>
          <w:color w:val="000000"/>
          <w:sz w:val="24"/>
          <w:szCs w:val="23"/>
        </w:rPr>
        <w:t>Academy</w:t>
      </w:r>
      <w:r>
        <w:rPr>
          <w:rFonts w:cs="Calibri"/>
          <w:color w:val="000000"/>
          <w:sz w:val="24"/>
          <w:szCs w:val="23"/>
        </w:rPr>
        <w:t xml:space="preserve">.  </w:t>
      </w:r>
      <w:r w:rsidR="00B521C4" w:rsidRPr="00B521C4">
        <w:rPr>
          <w:rFonts w:cs="Calibri"/>
          <w:color w:val="000000"/>
          <w:sz w:val="24"/>
          <w:szCs w:val="23"/>
        </w:rPr>
        <w:t xml:space="preserve">It is part of the vision and mission of the </w:t>
      </w:r>
      <w:r w:rsidR="006342A3">
        <w:rPr>
          <w:rFonts w:cs="Calibri"/>
          <w:color w:val="000000"/>
          <w:sz w:val="24"/>
          <w:szCs w:val="23"/>
        </w:rPr>
        <w:t xml:space="preserve">Academy </w:t>
      </w:r>
      <w:r w:rsidR="00B521C4" w:rsidRPr="00B521C4">
        <w:rPr>
          <w:rFonts w:cs="Calibri"/>
          <w:color w:val="000000"/>
          <w:sz w:val="24"/>
          <w:szCs w:val="23"/>
        </w:rPr>
        <w:t xml:space="preserve">that all </w:t>
      </w:r>
      <w:r w:rsidR="00494B7C">
        <w:rPr>
          <w:rFonts w:cs="Calibri"/>
          <w:color w:val="000000"/>
          <w:sz w:val="24"/>
          <w:szCs w:val="23"/>
        </w:rPr>
        <w:t>learners</w:t>
      </w:r>
      <w:r w:rsidR="006062BD">
        <w:rPr>
          <w:rFonts w:cs="Calibri"/>
          <w:color w:val="000000"/>
          <w:sz w:val="24"/>
          <w:szCs w:val="23"/>
        </w:rPr>
        <w:t xml:space="preserve"> </w:t>
      </w:r>
      <w:r w:rsidR="00171059">
        <w:rPr>
          <w:rFonts w:cs="Calibri"/>
          <w:color w:val="000000"/>
          <w:sz w:val="24"/>
          <w:szCs w:val="23"/>
        </w:rPr>
        <w:t xml:space="preserve">will be provided with opportunities to plan and manage their careers effectively through appropriate education, information and guidance at each </w:t>
      </w:r>
      <w:r w:rsidR="006062BD">
        <w:rPr>
          <w:rFonts w:cs="Calibri"/>
          <w:color w:val="000000"/>
          <w:sz w:val="24"/>
          <w:szCs w:val="23"/>
        </w:rPr>
        <w:t xml:space="preserve">key </w:t>
      </w:r>
      <w:r w:rsidR="00171059">
        <w:rPr>
          <w:rFonts w:cs="Calibri"/>
          <w:color w:val="000000"/>
          <w:sz w:val="24"/>
          <w:szCs w:val="23"/>
        </w:rPr>
        <w:t>stage</w:t>
      </w:r>
      <w:r w:rsidR="006062BD">
        <w:rPr>
          <w:rFonts w:cs="Calibri"/>
          <w:color w:val="000000"/>
          <w:sz w:val="24"/>
          <w:szCs w:val="23"/>
        </w:rPr>
        <w:t>.</w:t>
      </w:r>
    </w:p>
    <w:p w14:paraId="61C36EAE" w14:textId="77777777" w:rsidR="006062BD" w:rsidRPr="00B521C4" w:rsidRDefault="006062BD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14:paraId="2179E17B" w14:textId="77777777"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3"/>
        </w:rPr>
      </w:pPr>
      <w:r w:rsidRPr="00B521C4">
        <w:rPr>
          <w:rFonts w:cs="Calibri"/>
          <w:b/>
          <w:bCs/>
          <w:color w:val="000000"/>
          <w:sz w:val="24"/>
          <w:szCs w:val="23"/>
        </w:rPr>
        <w:t>Commitment</w:t>
      </w:r>
    </w:p>
    <w:p w14:paraId="5BCBDE1C" w14:textId="77777777"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b/>
          <w:bCs/>
          <w:color w:val="000000"/>
          <w:sz w:val="24"/>
          <w:szCs w:val="23"/>
        </w:rPr>
        <w:t xml:space="preserve"> </w:t>
      </w:r>
    </w:p>
    <w:p w14:paraId="3714BB61" w14:textId="501CD5D5" w:rsidR="00B521C4" w:rsidRDefault="006062BD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>
        <w:rPr>
          <w:rFonts w:cs="Calibri"/>
          <w:color w:val="000000"/>
          <w:sz w:val="24"/>
          <w:szCs w:val="23"/>
        </w:rPr>
        <w:t>KEVI HWGA</w:t>
      </w:r>
      <w:r w:rsidR="00B521C4" w:rsidRPr="00B521C4">
        <w:rPr>
          <w:rFonts w:cs="Calibri"/>
          <w:color w:val="000000"/>
          <w:sz w:val="24"/>
          <w:szCs w:val="23"/>
        </w:rPr>
        <w:t xml:space="preserve"> recognises that it has a statutory duty to provide</w:t>
      </w:r>
      <w:r w:rsidR="006342A3">
        <w:rPr>
          <w:rFonts w:cs="Calibri"/>
          <w:color w:val="000000"/>
          <w:sz w:val="24"/>
          <w:szCs w:val="23"/>
        </w:rPr>
        <w:t xml:space="preserve"> careers education in Years 7-13</w:t>
      </w:r>
      <w:r w:rsidR="00B521C4" w:rsidRPr="00B521C4">
        <w:rPr>
          <w:rFonts w:cs="Calibri"/>
          <w:color w:val="000000"/>
          <w:sz w:val="24"/>
          <w:szCs w:val="23"/>
        </w:rPr>
        <w:t xml:space="preserve"> (1997 Education Act, 2003 Education Regulations</w:t>
      </w:r>
      <w:r w:rsidR="006342A3">
        <w:rPr>
          <w:rFonts w:cs="Calibri"/>
          <w:color w:val="000000"/>
          <w:sz w:val="24"/>
          <w:szCs w:val="23"/>
        </w:rPr>
        <w:t>)</w:t>
      </w:r>
      <w:r w:rsidR="00B521C4" w:rsidRPr="00B521C4">
        <w:rPr>
          <w:rFonts w:cs="Calibri"/>
          <w:color w:val="000000"/>
          <w:sz w:val="24"/>
          <w:szCs w:val="23"/>
        </w:rPr>
        <w:t xml:space="preserve"> and to give learners access to impartial careers information, education and guidance (1997 Education Act, 2009 Education and Skills Act). It is committed to providing a planned programme of impartial careers education and information, advice and guidance (</w:t>
      </w:r>
      <w:r w:rsidR="00D66CDA">
        <w:rPr>
          <w:rFonts w:cs="Calibri"/>
          <w:color w:val="000000"/>
          <w:sz w:val="24"/>
          <w:szCs w:val="23"/>
        </w:rPr>
        <w:t xml:space="preserve">IAG) for all </w:t>
      </w:r>
      <w:r w:rsidR="00494B7C">
        <w:rPr>
          <w:rFonts w:cs="Calibri"/>
          <w:color w:val="000000"/>
          <w:sz w:val="24"/>
          <w:szCs w:val="23"/>
        </w:rPr>
        <w:t>learners</w:t>
      </w:r>
      <w:r w:rsidR="00D66CDA">
        <w:rPr>
          <w:rFonts w:cs="Calibri"/>
          <w:color w:val="000000"/>
          <w:sz w:val="24"/>
          <w:szCs w:val="23"/>
        </w:rPr>
        <w:t xml:space="preserve"> in Years </w:t>
      </w:r>
      <w:r>
        <w:rPr>
          <w:rFonts w:cs="Calibri"/>
          <w:color w:val="000000"/>
          <w:sz w:val="24"/>
          <w:szCs w:val="23"/>
        </w:rPr>
        <w:t>7</w:t>
      </w:r>
      <w:r w:rsidR="00B521C4" w:rsidRPr="00B521C4">
        <w:rPr>
          <w:rFonts w:cs="Calibri"/>
          <w:color w:val="000000"/>
          <w:sz w:val="24"/>
          <w:szCs w:val="23"/>
        </w:rPr>
        <w:t xml:space="preserve">-13, in partnership </w:t>
      </w:r>
      <w:r w:rsidR="006342A3">
        <w:rPr>
          <w:rFonts w:cs="Calibri"/>
          <w:color w:val="000000"/>
          <w:sz w:val="24"/>
          <w:szCs w:val="23"/>
        </w:rPr>
        <w:t xml:space="preserve">with local </w:t>
      </w:r>
      <w:r w:rsidR="00B521C4" w:rsidRPr="00B521C4">
        <w:rPr>
          <w:rFonts w:cs="Calibri"/>
          <w:color w:val="000000"/>
          <w:sz w:val="24"/>
          <w:szCs w:val="23"/>
        </w:rPr>
        <w:t xml:space="preserve">specialist providers; </w:t>
      </w:r>
      <w:r>
        <w:rPr>
          <w:rFonts w:cs="Calibri"/>
          <w:color w:val="000000"/>
          <w:sz w:val="24"/>
          <w:szCs w:val="23"/>
        </w:rPr>
        <w:t>as well as providing</w:t>
      </w:r>
      <w:r w:rsidR="00B521C4" w:rsidRPr="00B521C4">
        <w:rPr>
          <w:rFonts w:cs="Calibri"/>
          <w:color w:val="000000"/>
          <w:sz w:val="24"/>
          <w:szCs w:val="23"/>
        </w:rPr>
        <w:t xml:space="preserve"> extra support as required for vulnerable </w:t>
      </w:r>
      <w:r w:rsidR="00494B7C">
        <w:rPr>
          <w:rFonts w:cs="Calibri"/>
          <w:color w:val="000000"/>
          <w:sz w:val="24"/>
          <w:szCs w:val="23"/>
        </w:rPr>
        <w:lastRenderedPageBreak/>
        <w:t>learners</w:t>
      </w:r>
      <w:r w:rsidR="00B521C4" w:rsidRPr="00B521C4">
        <w:rPr>
          <w:rFonts w:cs="Calibri"/>
          <w:color w:val="000000"/>
          <w:sz w:val="24"/>
          <w:szCs w:val="23"/>
        </w:rPr>
        <w:t xml:space="preserve"> and </w:t>
      </w:r>
      <w:r w:rsidR="00494B7C">
        <w:rPr>
          <w:rFonts w:cs="Calibri"/>
          <w:color w:val="000000"/>
          <w:sz w:val="24"/>
          <w:szCs w:val="23"/>
        </w:rPr>
        <w:t>learners</w:t>
      </w:r>
      <w:r w:rsidR="00B521C4" w:rsidRPr="00B521C4">
        <w:rPr>
          <w:rFonts w:cs="Calibri"/>
          <w:color w:val="000000"/>
          <w:sz w:val="24"/>
          <w:szCs w:val="23"/>
        </w:rPr>
        <w:t xml:space="preserve"> </w:t>
      </w:r>
      <w:r w:rsidR="004520E6">
        <w:rPr>
          <w:rFonts w:cs="Calibri"/>
          <w:color w:val="000000"/>
          <w:sz w:val="24"/>
          <w:szCs w:val="23"/>
        </w:rPr>
        <w:t xml:space="preserve">with special educational needs. Our commitment to careers education is in line with the Gatsby bench marks for the delivery of robust careers education. </w:t>
      </w:r>
    </w:p>
    <w:p w14:paraId="31653E99" w14:textId="77777777" w:rsidR="00AA0424" w:rsidRDefault="00AA042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14:paraId="141F3C91" w14:textId="77777777" w:rsidR="00AA0424" w:rsidRDefault="00AA042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>
        <w:rPr>
          <w:rFonts w:cs="Calibri"/>
          <w:color w:val="000000"/>
          <w:sz w:val="24"/>
          <w:szCs w:val="23"/>
        </w:rPr>
        <w:t>The Gatsby Benc</w:t>
      </w:r>
      <w:r w:rsidR="00771E4F">
        <w:rPr>
          <w:rFonts w:cs="Calibri"/>
          <w:color w:val="000000"/>
          <w:sz w:val="24"/>
          <w:szCs w:val="23"/>
        </w:rPr>
        <w:t>hmarks are as follows:</w:t>
      </w:r>
    </w:p>
    <w:p w14:paraId="0D633702" w14:textId="77777777" w:rsidR="00771E4F" w:rsidRPr="00EC4552" w:rsidRDefault="00771E4F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EC4552">
        <w:rPr>
          <w:rFonts w:cs="Calibri"/>
          <w:color w:val="000000"/>
          <w:sz w:val="24"/>
          <w:szCs w:val="23"/>
        </w:rPr>
        <w:t xml:space="preserve">1. A stable careers programme </w:t>
      </w:r>
    </w:p>
    <w:p w14:paraId="32420146" w14:textId="77777777" w:rsidR="00771E4F" w:rsidRPr="00EC4552" w:rsidRDefault="00771E4F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EC4552">
        <w:rPr>
          <w:rFonts w:cs="Calibri"/>
          <w:color w:val="000000"/>
          <w:sz w:val="24"/>
          <w:szCs w:val="23"/>
        </w:rPr>
        <w:t xml:space="preserve">2. Learning from career and labour market information </w:t>
      </w:r>
    </w:p>
    <w:p w14:paraId="2937A117" w14:textId="77777777" w:rsidR="00771E4F" w:rsidRPr="00EC4552" w:rsidRDefault="00771E4F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EC4552">
        <w:rPr>
          <w:rFonts w:cs="Calibri"/>
          <w:color w:val="000000"/>
          <w:sz w:val="24"/>
          <w:szCs w:val="23"/>
        </w:rPr>
        <w:t xml:space="preserve">3. Addressing the needs of each student </w:t>
      </w:r>
    </w:p>
    <w:p w14:paraId="562BADD8" w14:textId="77777777" w:rsidR="00771E4F" w:rsidRPr="00EC4552" w:rsidRDefault="00771E4F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EC4552">
        <w:rPr>
          <w:rFonts w:cs="Calibri"/>
          <w:color w:val="000000"/>
          <w:sz w:val="24"/>
          <w:szCs w:val="23"/>
        </w:rPr>
        <w:t xml:space="preserve">4. Linking curriculum learning to careers </w:t>
      </w:r>
    </w:p>
    <w:p w14:paraId="64B9240A" w14:textId="77777777" w:rsidR="00771E4F" w:rsidRPr="00EC4552" w:rsidRDefault="00771E4F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EC4552">
        <w:rPr>
          <w:rFonts w:cs="Calibri"/>
          <w:color w:val="000000"/>
          <w:sz w:val="24"/>
          <w:szCs w:val="23"/>
        </w:rPr>
        <w:t xml:space="preserve">5. Encounters with employers and employees </w:t>
      </w:r>
    </w:p>
    <w:p w14:paraId="2DA8750B" w14:textId="77777777" w:rsidR="00771E4F" w:rsidRPr="00EC4552" w:rsidRDefault="00771E4F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EC4552">
        <w:rPr>
          <w:rFonts w:cs="Calibri"/>
          <w:color w:val="000000"/>
          <w:sz w:val="24"/>
          <w:szCs w:val="23"/>
        </w:rPr>
        <w:t xml:space="preserve">6. Experience of work places </w:t>
      </w:r>
    </w:p>
    <w:p w14:paraId="329EDF91" w14:textId="77777777" w:rsidR="00771E4F" w:rsidRPr="00EC4552" w:rsidRDefault="00771E4F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EC4552">
        <w:rPr>
          <w:rFonts w:cs="Calibri"/>
          <w:color w:val="000000"/>
          <w:sz w:val="24"/>
          <w:szCs w:val="23"/>
        </w:rPr>
        <w:t xml:space="preserve">7. Encounters with further and higher education </w:t>
      </w:r>
    </w:p>
    <w:p w14:paraId="13F39CD6" w14:textId="77777777" w:rsidR="00771E4F" w:rsidRDefault="00771E4F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EC4552">
        <w:rPr>
          <w:rFonts w:cs="Calibri"/>
          <w:color w:val="000000"/>
          <w:sz w:val="24"/>
          <w:szCs w:val="23"/>
        </w:rPr>
        <w:t>8. Personal guidance</w:t>
      </w:r>
    </w:p>
    <w:p w14:paraId="03D48B72" w14:textId="77777777" w:rsidR="006342A3" w:rsidRPr="00B521C4" w:rsidRDefault="006342A3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14:paraId="0BF655C1" w14:textId="77777777" w:rsidR="00B521C4" w:rsidRDefault="006062BD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>
        <w:rPr>
          <w:rFonts w:cs="Calibri"/>
          <w:color w:val="000000"/>
          <w:sz w:val="24"/>
          <w:szCs w:val="23"/>
        </w:rPr>
        <w:t>KEVI HWGA</w:t>
      </w:r>
      <w:r w:rsidR="00B521C4" w:rsidRPr="00B521C4">
        <w:rPr>
          <w:rFonts w:cs="Calibri"/>
          <w:color w:val="000000"/>
          <w:sz w:val="24"/>
          <w:szCs w:val="23"/>
        </w:rPr>
        <w:t xml:space="preserve"> endeavours to follow best practice guidance from the careers</w:t>
      </w:r>
      <w:r w:rsidR="00EC4552">
        <w:rPr>
          <w:rFonts w:cs="Calibri"/>
          <w:color w:val="000000"/>
          <w:sz w:val="24"/>
          <w:szCs w:val="23"/>
        </w:rPr>
        <w:t>’</w:t>
      </w:r>
      <w:r w:rsidR="00B521C4" w:rsidRPr="00B521C4">
        <w:rPr>
          <w:rFonts w:cs="Calibri"/>
          <w:color w:val="000000"/>
          <w:sz w:val="24"/>
          <w:szCs w:val="23"/>
        </w:rPr>
        <w:t xml:space="preserve"> profession, from other expert bodies such as Ofsted and</w:t>
      </w:r>
      <w:r w:rsidR="00D66CDA">
        <w:rPr>
          <w:rFonts w:cs="Calibri"/>
          <w:color w:val="000000"/>
          <w:sz w:val="24"/>
          <w:szCs w:val="23"/>
        </w:rPr>
        <w:t xml:space="preserve"> from Government departments such as the Careers Enterprise Company</w:t>
      </w:r>
      <w:r w:rsidR="00B521C4" w:rsidRPr="00B521C4">
        <w:rPr>
          <w:rFonts w:cs="Calibri"/>
          <w:color w:val="000000"/>
          <w:sz w:val="24"/>
          <w:szCs w:val="23"/>
        </w:rPr>
        <w:t xml:space="preserve">. </w:t>
      </w:r>
    </w:p>
    <w:p w14:paraId="04448F94" w14:textId="77777777" w:rsidR="006342A3" w:rsidRPr="00B521C4" w:rsidRDefault="006342A3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14:paraId="5544D8A9" w14:textId="77777777" w:rsidR="00B521C4" w:rsidRPr="00A010BC" w:rsidRDefault="006062BD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>
        <w:rPr>
          <w:rFonts w:cs="Calibri"/>
          <w:color w:val="000000"/>
          <w:sz w:val="24"/>
          <w:szCs w:val="23"/>
        </w:rPr>
        <w:t>KEVI HWGA</w:t>
      </w:r>
      <w:r w:rsidR="006342A3">
        <w:rPr>
          <w:rFonts w:cs="Calibri"/>
          <w:color w:val="000000"/>
          <w:sz w:val="24"/>
          <w:szCs w:val="23"/>
        </w:rPr>
        <w:t xml:space="preserve"> is also committed to deliver</w:t>
      </w:r>
      <w:r w:rsidR="00EC4552">
        <w:rPr>
          <w:rFonts w:cs="Calibri"/>
          <w:color w:val="000000"/>
          <w:sz w:val="24"/>
          <w:szCs w:val="23"/>
        </w:rPr>
        <w:t>ing</w:t>
      </w:r>
      <w:r w:rsidR="006342A3">
        <w:rPr>
          <w:rFonts w:cs="Calibri"/>
          <w:color w:val="000000"/>
          <w:sz w:val="24"/>
          <w:szCs w:val="23"/>
        </w:rPr>
        <w:t xml:space="preserve"> a high quality careers education</w:t>
      </w:r>
      <w:r w:rsidR="00EC4552">
        <w:rPr>
          <w:rFonts w:cs="Calibri"/>
          <w:color w:val="000000"/>
          <w:sz w:val="24"/>
          <w:szCs w:val="23"/>
        </w:rPr>
        <w:t>, information and</w:t>
      </w:r>
      <w:r w:rsidR="006342A3">
        <w:rPr>
          <w:rFonts w:cs="Calibri"/>
          <w:color w:val="000000"/>
          <w:sz w:val="24"/>
          <w:szCs w:val="23"/>
        </w:rPr>
        <w:t xml:space="preserve"> </w:t>
      </w:r>
      <w:r w:rsidR="00EC4552">
        <w:rPr>
          <w:rFonts w:cs="Calibri"/>
          <w:color w:val="000000"/>
          <w:sz w:val="24"/>
          <w:szCs w:val="23"/>
        </w:rPr>
        <w:t>g</w:t>
      </w:r>
      <w:r w:rsidR="006342A3">
        <w:rPr>
          <w:rFonts w:cs="Calibri"/>
          <w:color w:val="000000"/>
          <w:sz w:val="24"/>
          <w:szCs w:val="23"/>
        </w:rPr>
        <w:t>uidance service</w:t>
      </w:r>
      <w:r w:rsidR="00EC4552">
        <w:rPr>
          <w:rFonts w:cs="Calibri"/>
          <w:color w:val="000000"/>
          <w:sz w:val="24"/>
          <w:szCs w:val="23"/>
        </w:rPr>
        <w:t>, which has led to the achievement of a Q</w:t>
      </w:r>
      <w:r w:rsidR="006342A3">
        <w:rPr>
          <w:rFonts w:cs="Calibri"/>
          <w:color w:val="000000"/>
          <w:sz w:val="24"/>
          <w:szCs w:val="23"/>
        </w:rPr>
        <w:t xml:space="preserve">uality in </w:t>
      </w:r>
      <w:r w:rsidR="00EC4552">
        <w:rPr>
          <w:rFonts w:cs="Calibri"/>
          <w:color w:val="000000"/>
          <w:sz w:val="24"/>
          <w:szCs w:val="23"/>
        </w:rPr>
        <w:t>C</w:t>
      </w:r>
      <w:r w:rsidR="006342A3">
        <w:rPr>
          <w:rFonts w:cs="Calibri"/>
          <w:color w:val="000000"/>
          <w:sz w:val="24"/>
          <w:szCs w:val="23"/>
        </w:rPr>
        <w:t xml:space="preserve">areers </w:t>
      </w:r>
      <w:r w:rsidR="00EC4552">
        <w:rPr>
          <w:rFonts w:cs="Calibri"/>
          <w:color w:val="000000"/>
          <w:sz w:val="24"/>
          <w:szCs w:val="23"/>
        </w:rPr>
        <w:t>A</w:t>
      </w:r>
      <w:r w:rsidR="006342A3">
        <w:rPr>
          <w:rFonts w:cs="Calibri"/>
          <w:color w:val="000000"/>
          <w:sz w:val="24"/>
          <w:szCs w:val="23"/>
        </w:rPr>
        <w:t>ward</w:t>
      </w:r>
      <w:r w:rsidR="00B521C4" w:rsidRPr="00B521C4">
        <w:rPr>
          <w:rFonts w:cs="Calibri"/>
          <w:color w:val="000000"/>
          <w:sz w:val="24"/>
          <w:szCs w:val="23"/>
        </w:rPr>
        <w:t>.</w:t>
      </w:r>
    </w:p>
    <w:p w14:paraId="4D38B891" w14:textId="77777777"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color w:val="000000"/>
          <w:sz w:val="24"/>
          <w:szCs w:val="23"/>
        </w:rPr>
        <w:t xml:space="preserve"> </w:t>
      </w:r>
    </w:p>
    <w:p w14:paraId="140D5F1B" w14:textId="77777777"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3"/>
        </w:rPr>
      </w:pPr>
      <w:r w:rsidRPr="00B521C4">
        <w:rPr>
          <w:rFonts w:cs="Calibri"/>
          <w:b/>
          <w:bCs/>
          <w:color w:val="000000"/>
          <w:sz w:val="24"/>
          <w:szCs w:val="23"/>
        </w:rPr>
        <w:t xml:space="preserve">Development </w:t>
      </w:r>
    </w:p>
    <w:p w14:paraId="60064CC6" w14:textId="77777777"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14:paraId="6CBC2A15" w14:textId="3AA901F2" w:rsid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color w:val="000000"/>
          <w:sz w:val="24"/>
          <w:szCs w:val="23"/>
        </w:rPr>
        <w:t xml:space="preserve">This policy was developed and is reviewed annually in discussion with </w:t>
      </w:r>
      <w:r w:rsidR="006062BD">
        <w:rPr>
          <w:rFonts w:cs="Calibri"/>
          <w:color w:val="000000"/>
          <w:sz w:val="24"/>
          <w:szCs w:val="23"/>
        </w:rPr>
        <w:t xml:space="preserve">senior leadership team, </w:t>
      </w:r>
      <w:r w:rsidRPr="00B521C4">
        <w:rPr>
          <w:rFonts w:cs="Calibri"/>
          <w:color w:val="000000"/>
          <w:sz w:val="24"/>
          <w:szCs w:val="23"/>
        </w:rPr>
        <w:t xml:space="preserve">teaching and support staff, </w:t>
      </w:r>
      <w:r w:rsidR="00494B7C">
        <w:rPr>
          <w:rFonts w:cs="Calibri"/>
          <w:color w:val="000000"/>
          <w:sz w:val="24"/>
          <w:szCs w:val="23"/>
        </w:rPr>
        <w:t>learners</w:t>
      </w:r>
      <w:r w:rsidRPr="00B521C4">
        <w:rPr>
          <w:rFonts w:cs="Calibri"/>
          <w:color w:val="000000"/>
          <w:sz w:val="24"/>
          <w:szCs w:val="23"/>
        </w:rPr>
        <w:t>, parents</w:t>
      </w:r>
      <w:r w:rsidR="00FC79A8">
        <w:rPr>
          <w:rFonts w:cs="Calibri"/>
          <w:color w:val="000000"/>
          <w:sz w:val="24"/>
          <w:szCs w:val="23"/>
        </w:rPr>
        <w:t>/guardians</w:t>
      </w:r>
      <w:r w:rsidRPr="00B521C4">
        <w:rPr>
          <w:rFonts w:cs="Calibri"/>
          <w:color w:val="000000"/>
          <w:sz w:val="24"/>
          <w:szCs w:val="23"/>
        </w:rPr>
        <w:t>, governors, advisory staff and other extern</w:t>
      </w:r>
      <w:r w:rsidR="00240A94">
        <w:rPr>
          <w:rFonts w:cs="Calibri"/>
          <w:color w:val="000000"/>
          <w:sz w:val="24"/>
          <w:szCs w:val="23"/>
        </w:rPr>
        <w:t>al partners (e.g. Birmingham Careers S</w:t>
      </w:r>
      <w:r w:rsidR="00AE0C9F">
        <w:rPr>
          <w:rFonts w:cs="Calibri"/>
          <w:color w:val="000000"/>
          <w:sz w:val="24"/>
          <w:szCs w:val="23"/>
        </w:rPr>
        <w:t>ervice,</w:t>
      </w:r>
      <w:r w:rsidRPr="00B521C4">
        <w:rPr>
          <w:rFonts w:cs="Calibri"/>
          <w:color w:val="000000"/>
          <w:sz w:val="24"/>
          <w:szCs w:val="23"/>
        </w:rPr>
        <w:t xml:space="preserve"> the 14-19 </w:t>
      </w:r>
      <w:r w:rsidR="006062BD">
        <w:rPr>
          <w:rFonts w:cs="Calibri"/>
          <w:color w:val="000000"/>
          <w:sz w:val="24"/>
          <w:szCs w:val="23"/>
        </w:rPr>
        <w:t>P</w:t>
      </w:r>
      <w:r w:rsidRPr="00B521C4">
        <w:rPr>
          <w:rFonts w:cs="Calibri"/>
          <w:color w:val="000000"/>
          <w:sz w:val="24"/>
          <w:szCs w:val="23"/>
        </w:rPr>
        <w:t>artnership</w:t>
      </w:r>
      <w:r w:rsidR="00E91F2B">
        <w:rPr>
          <w:rFonts w:cs="Calibri"/>
          <w:color w:val="000000"/>
          <w:sz w:val="24"/>
          <w:szCs w:val="23"/>
        </w:rPr>
        <w:t xml:space="preserve"> and the Careers Enterprise Company</w:t>
      </w:r>
      <w:r w:rsidRPr="00B521C4">
        <w:rPr>
          <w:rFonts w:cs="Calibri"/>
          <w:color w:val="000000"/>
          <w:sz w:val="24"/>
          <w:szCs w:val="23"/>
        </w:rPr>
        <w:t xml:space="preserve">). </w:t>
      </w:r>
    </w:p>
    <w:p w14:paraId="09A765E3" w14:textId="77777777" w:rsidR="000D6648" w:rsidRDefault="000D6648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14:paraId="75FC6B7C" w14:textId="77777777"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3"/>
        </w:rPr>
      </w:pPr>
      <w:r w:rsidRPr="00B521C4">
        <w:rPr>
          <w:rFonts w:cs="Calibri"/>
          <w:b/>
          <w:bCs/>
          <w:color w:val="000000"/>
          <w:sz w:val="24"/>
          <w:szCs w:val="23"/>
        </w:rPr>
        <w:t xml:space="preserve">Links with other policies </w:t>
      </w:r>
    </w:p>
    <w:p w14:paraId="6FB472D3" w14:textId="77777777"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14:paraId="78A5EF60" w14:textId="77777777" w:rsidR="006342A3" w:rsidRDefault="00B521C4" w:rsidP="00B521C4">
      <w:pPr>
        <w:rPr>
          <w:b/>
          <w:bCs/>
          <w:sz w:val="56"/>
          <w:szCs w:val="48"/>
        </w:rPr>
      </w:pPr>
      <w:r w:rsidRPr="00A010BC">
        <w:rPr>
          <w:rFonts w:cs="Calibri"/>
          <w:color w:val="000000"/>
          <w:sz w:val="24"/>
          <w:szCs w:val="23"/>
        </w:rPr>
        <w:t>The policy for CEIAG supports and is itself underpinned by a range of key school policies especially those for Teaching and Learning, Assessment, Recording and Reporting Achievement, Equality and Diversity, Inclusion and SEN</w:t>
      </w:r>
      <w:r w:rsidR="006062BD">
        <w:rPr>
          <w:rFonts w:cs="Calibri"/>
          <w:color w:val="000000"/>
          <w:sz w:val="24"/>
          <w:szCs w:val="23"/>
        </w:rPr>
        <w:t>D</w:t>
      </w:r>
      <w:r w:rsidRPr="00A010BC">
        <w:rPr>
          <w:rFonts w:cs="Calibri"/>
          <w:color w:val="000000"/>
          <w:sz w:val="24"/>
          <w:szCs w:val="23"/>
        </w:rPr>
        <w:t>.</w:t>
      </w:r>
      <w:r w:rsidR="004520E6">
        <w:rPr>
          <w:rFonts w:cs="Calibri"/>
          <w:color w:val="000000"/>
          <w:sz w:val="24"/>
          <w:szCs w:val="23"/>
        </w:rPr>
        <w:t xml:space="preserve"> </w:t>
      </w:r>
      <w:r w:rsidR="006062BD">
        <w:rPr>
          <w:rFonts w:cs="Calibri"/>
          <w:color w:val="000000"/>
          <w:sz w:val="24"/>
          <w:szCs w:val="23"/>
        </w:rPr>
        <w:t xml:space="preserve"> </w:t>
      </w:r>
      <w:r w:rsidR="004520E6">
        <w:rPr>
          <w:rFonts w:cs="Calibri"/>
          <w:color w:val="000000"/>
          <w:sz w:val="24"/>
          <w:szCs w:val="23"/>
        </w:rPr>
        <w:t xml:space="preserve">The academy has a separate </w:t>
      </w:r>
      <w:r w:rsidR="00B2563D">
        <w:rPr>
          <w:rFonts w:cs="Calibri"/>
          <w:color w:val="000000"/>
          <w:sz w:val="24"/>
          <w:szCs w:val="23"/>
        </w:rPr>
        <w:t xml:space="preserve">Provider Access Policy. </w:t>
      </w:r>
    </w:p>
    <w:p w14:paraId="10DD3748" w14:textId="77777777" w:rsidR="00B521C4" w:rsidRPr="006342A3" w:rsidRDefault="00B521C4" w:rsidP="00B521C4">
      <w:pPr>
        <w:rPr>
          <w:b/>
          <w:bCs/>
          <w:sz w:val="56"/>
          <w:szCs w:val="48"/>
        </w:rPr>
      </w:pPr>
      <w:r w:rsidRPr="00A010BC">
        <w:rPr>
          <w:b/>
          <w:bCs/>
          <w:sz w:val="28"/>
          <w:szCs w:val="48"/>
        </w:rPr>
        <w:t>Objectives</w:t>
      </w:r>
    </w:p>
    <w:p w14:paraId="119E6CF2" w14:textId="77777777" w:rsidR="00B521C4" w:rsidRPr="00A010BC" w:rsidRDefault="00B521C4" w:rsidP="00B521C4">
      <w:pPr>
        <w:rPr>
          <w:b/>
          <w:bCs/>
          <w:sz w:val="24"/>
          <w:szCs w:val="48"/>
        </w:rPr>
      </w:pPr>
      <w:r w:rsidRPr="00A010BC">
        <w:rPr>
          <w:b/>
          <w:bCs/>
          <w:sz w:val="24"/>
          <w:szCs w:val="48"/>
        </w:rPr>
        <w:t>Learners’ Needs</w:t>
      </w:r>
    </w:p>
    <w:p w14:paraId="05C644B4" w14:textId="52115F13" w:rsidR="00B521C4" w:rsidRPr="00A010BC" w:rsidRDefault="00B521C4" w:rsidP="00B521C4">
      <w:pPr>
        <w:rPr>
          <w:bCs/>
          <w:sz w:val="24"/>
          <w:szCs w:val="48"/>
        </w:rPr>
      </w:pPr>
      <w:r w:rsidRPr="00A010BC">
        <w:rPr>
          <w:bCs/>
          <w:sz w:val="24"/>
          <w:szCs w:val="48"/>
        </w:rPr>
        <w:t xml:space="preserve">The careers programme is designed to </w:t>
      </w:r>
      <w:r w:rsidR="006062BD">
        <w:rPr>
          <w:bCs/>
          <w:sz w:val="24"/>
          <w:szCs w:val="48"/>
        </w:rPr>
        <w:t xml:space="preserve">equally </w:t>
      </w:r>
      <w:r w:rsidRPr="00A010BC">
        <w:rPr>
          <w:bCs/>
          <w:sz w:val="24"/>
          <w:szCs w:val="48"/>
        </w:rPr>
        <w:t xml:space="preserve">meet the needs of </w:t>
      </w:r>
      <w:r w:rsidR="006062BD">
        <w:rPr>
          <w:bCs/>
          <w:sz w:val="24"/>
          <w:szCs w:val="48"/>
        </w:rPr>
        <w:t xml:space="preserve">all </w:t>
      </w:r>
      <w:r w:rsidR="00494B7C">
        <w:rPr>
          <w:bCs/>
          <w:sz w:val="24"/>
          <w:szCs w:val="48"/>
        </w:rPr>
        <w:t>learners</w:t>
      </w:r>
      <w:r w:rsidRPr="00A010BC">
        <w:rPr>
          <w:bCs/>
          <w:sz w:val="24"/>
          <w:szCs w:val="48"/>
        </w:rPr>
        <w:t xml:space="preserve"> </w:t>
      </w:r>
      <w:r w:rsidR="00F21B11">
        <w:rPr>
          <w:bCs/>
          <w:sz w:val="24"/>
          <w:szCs w:val="48"/>
        </w:rPr>
        <w:t xml:space="preserve">at </w:t>
      </w:r>
      <w:r w:rsidR="006062BD">
        <w:rPr>
          <w:bCs/>
          <w:sz w:val="24"/>
          <w:szCs w:val="48"/>
        </w:rPr>
        <w:t>KEVI HWGA</w:t>
      </w:r>
      <w:r w:rsidRPr="00A010BC">
        <w:rPr>
          <w:bCs/>
          <w:sz w:val="24"/>
          <w:szCs w:val="48"/>
        </w:rPr>
        <w:t xml:space="preserve">. Activities are differentiated and personalised to ensure progression in </w:t>
      </w:r>
      <w:r w:rsidR="00494B7C">
        <w:rPr>
          <w:bCs/>
          <w:sz w:val="24"/>
          <w:szCs w:val="48"/>
        </w:rPr>
        <w:t>learners</w:t>
      </w:r>
      <w:r w:rsidR="000E1AB9">
        <w:rPr>
          <w:bCs/>
          <w:sz w:val="24"/>
          <w:szCs w:val="48"/>
        </w:rPr>
        <w:t>’</w:t>
      </w:r>
      <w:r w:rsidRPr="00A010BC">
        <w:rPr>
          <w:bCs/>
          <w:sz w:val="24"/>
          <w:szCs w:val="48"/>
        </w:rPr>
        <w:t xml:space="preserve"> career learning and development and to strengthen their motivation, aspirations and attainment at school.</w:t>
      </w:r>
      <w:r w:rsidR="00930E45">
        <w:rPr>
          <w:bCs/>
          <w:sz w:val="24"/>
          <w:szCs w:val="48"/>
        </w:rPr>
        <w:t xml:space="preserve">  The Raising Asp</w:t>
      </w:r>
      <w:r w:rsidR="009A0695">
        <w:rPr>
          <w:bCs/>
          <w:sz w:val="24"/>
          <w:szCs w:val="48"/>
        </w:rPr>
        <w:t xml:space="preserve">irations programme will be a key </w:t>
      </w:r>
      <w:r w:rsidR="00203261">
        <w:rPr>
          <w:bCs/>
          <w:sz w:val="24"/>
          <w:szCs w:val="48"/>
        </w:rPr>
        <w:t xml:space="preserve">element in supporting each </w:t>
      </w:r>
      <w:r w:rsidR="009E43CC">
        <w:rPr>
          <w:bCs/>
          <w:sz w:val="24"/>
          <w:szCs w:val="48"/>
        </w:rPr>
        <w:t xml:space="preserve">learner in </w:t>
      </w:r>
      <w:r w:rsidR="00E844CC">
        <w:rPr>
          <w:bCs/>
          <w:sz w:val="24"/>
          <w:szCs w:val="48"/>
        </w:rPr>
        <w:t>broadening their horizons</w:t>
      </w:r>
      <w:r w:rsidR="006C7A2D">
        <w:rPr>
          <w:bCs/>
          <w:sz w:val="24"/>
          <w:szCs w:val="48"/>
        </w:rPr>
        <w:t>.</w:t>
      </w:r>
    </w:p>
    <w:p w14:paraId="22465721" w14:textId="77777777" w:rsidR="00B521C4" w:rsidRPr="00A010BC" w:rsidRDefault="00B521C4" w:rsidP="00B521C4">
      <w:pPr>
        <w:rPr>
          <w:b/>
          <w:bCs/>
          <w:sz w:val="24"/>
          <w:szCs w:val="48"/>
        </w:rPr>
      </w:pPr>
      <w:r w:rsidRPr="00A010BC">
        <w:rPr>
          <w:b/>
          <w:bCs/>
          <w:sz w:val="24"/>
          <w:szCs w:val="48"/>
        </w:rPr>
        <w:t>Entitlement</w:t>
      </w:r>
    </w:p>
    <w:p w14:paraId="7F894721" w14:textId="747FDDDC" w:rsidR="00B521C4" w:rsidRDefault="00B521C4" w:rsidP="00B521C4">
      <w:pPr>
        <w:rPr>
          <w:bCs/>
          <w:sz w:val="24"/>
          <w:szCs w:val="48"/>
        </w:rPr>
      </w:pPr>
      <w:r w:rsidRPr="00A010BC">
        <w:rPr>
          <w:bCs/>
          <w:sz w:val="24"/>
          <w:szCs w:val="48"/>
        </w:rPr>
        <w:lastRenderedPageBreak/>
        <w:t xml:space="preserve">Learners are entitled to CEIAG which meets professional standards of practice, delivered by trained staff and which is person-centred, impartial and confidential. Activities will be embedded in the curriculum and based on a partnership with </w:t>
      </w:r>
      <w:r w:rsidR="00494B7C">
        <w:rPr>
          <w:bCs/>
          <w:sz w:val="24"/>
          <w:szCs w:val="48"/>
        </w:rPr>
        <w:t>learners</w:t>
      </w:r>
      <w:r w:rsidRPr="00A010BC">
        <w:rPr>
          <w:bCs/>
          <w:sz w:val="24"/>
          <w:szCs w:val="48"/>
        </w:rPr>
        <w:t xml:space="preserve"> and their </w:t>
      </w:r>
      <w:r w:rsidR="006062BD">
        <w:rPr>
          <w:bCs/>
          <w:sz w:val="24"/>
          <w:szCs w:val="48"/>
        </w:rPr>
        <w:t>families</w:t>
      </w:r>
      <w:r w:rsidRPr="00A010BC">
        <w:rPr>
          <w:bCs/>
          <w:sz w:val="24"/>
          <w:szCs w:val="48"/>
        </w:rPr>
        <w:t xml:space="preserve">. The </w:t>
      </w:r>
      <w:r w:rsidR="00312F2B">
        <w:rPr>
          <w:bCs/>
          <w:sz w:val="24"/>
          <w:szCs w:val="48"/>
        </w:rPr>
        <w:t xml:space="preserve">Raising Aspirations </w:t>
      </w:r>
      <w:r w:rsidRPr="00A010BC">
        <w:rPr>
          <w:bCs/>
          <w:sz w:val="24"/>
          <w:szCs w:val="48"/>
        </w:rPr>
        <w:t>programme will raise aspirations, challenge stereo</w:t>
      </w:r>
      <w:r w:rsidR="00F5509E">
        <w:rPr>
          <w:bCs/>
          <w:sz w:val="24"/>
          <w:szCs w:val="48"/>
        </w:rPr>
        <w:t>types</w:t>
      </w:r>
      <w:r w:rsidRPr="00A010BC">
        <w:rPr>
          <w:bCs/>
          <w:sz w:val="24"/>
          <w:szCs w:val="48"/>
        </w:rPr>
        <w:t xml:space="preserve"> </w:t>
      </w:r>
      <w:r w:rsidR="00D22CD4">
        <w:rPr>
          <w:bCs/>
          <w:sz w:val="24"/>
          <w:szCs w:val="48"/>
        </w:rPr>
        <w:t xml:space="preserve">ensuring that </w:t>
      </w:r>
      <w:r w:rsidRPr="00A010BC">
        <w:rPr>
          <w:bCs/>
          <w:sz w:val="24"/>
          <w:szCs w:val="48"/>
        </w:rPr>
        <w:t>equality</w:t>
      </w:r>
      <w:r w:rsidR="00312F2B">
        <w:rPr>
          <w:bCs/>
          <w:sz w:val="24"/>
          <w:szCs w:val="48"/>
        </w:rPr>
        <w:t>,</w:t>
      </w:r>
      <w:r w:rsidRPr="00A010BC">
        <w:rPr>
          <w:bCs/>
          <w:sz w:val="24"/>
          <w:szCs w:val="48"/>
        </w:rPr>
        <w:t xml:space="preserve"> diversity</w:t>
      </w:r>
      <w:r w:rsidR="00D22CD4">
        <w:rPr>
          <w:bCs/>
          <w:sz w:val="24"/>
          <w:szCs w:val="48"/>
        </w:rPr>
        <w:t xml:space="preserve"> </w:t>
      </w:r>
      <w:r w:rsidR="00312F2B">
        <w:rPr>
          <w:bCs/>
          <w:sz w:val="24"/>
          <w:szCs w:val="48"/>
        </w:rPr>
        <w:t xml:space="preserve">and inclusion </w:t>
      </w:r>
      <w:r w:rsidR="00D22CD4">
        <w:rPr>
          <w:bCs/>
          <w:sz w:val="24"/>
          <w:szCs w:val="48"/>
        </w:rPr>
        <w:t>are promoted</w:t>
      </w:r>
      <w:r w:rsidRPr="00A010BC">
        <w:rPr>
          <w:bCs/>
          <w:sz w:val="24"/>
          <w:szCs w:val="48"/>
        </w:rPr>
        <w:t>.</w:t>
      </w:r>
    </w:p>
    <w:p w14:paraId="507ABB64" w14:textId="77777777" w:rsidR="00B521C4" w:rsidRPr="00A010BC" w:rsidRDefault="00B521C4" w:rsidP="00B521C4">
      <w:pPr>
        <w:rPr>
          <w:b/>
          <w:bCs/>
          <w:sz w:val="28"/>
          <w:szCs w:val="48"/>
        </w:rPr>
      </w:pPr>
      <w:r w:rsidRPr="00A010BC">
        <w:rPr>
          <w:b/>
          <w:bCs/>
          <w:sz w:val="28"/>
          <w:szCs w:val="48"/>
        </w:rPr>
        <w:t>Implementation</w:t>
      </w:r>
    </w:p>
    <w:p w14:paraId="0F73D5A8" w14:textId="77777777" w:rsidR="00B521C4" w:rsidRPr="00A010BC" w:rsidRDefault="00B521C4" w:rsidP="00B521C4">
      <w:pPr>
        <w:rPr>
          <w:b/>
          <w:bCs/>
          <w:sz w:val="24"/>
          <w:szCs w:val="48"/>
        </w:rPr>
      </w:pPr>
      <w:r w:rsidRPr="00A010BC">
        <w:rPr>
          <w:b/>
          <w:bCs/>
          <w:sz w:val="24"/>
          <w:szCs w:val="48"/>
        </w:rPr>
        <w:t>Management</w:t>
      </w:r>
    </w:p>
    <w:p w14:paraId="69D837D7" w14:textId="3A240F95" w:rsidR="00B521C4" w:rsidRPr="00A010BC" w:rsidRDefault="006062BD" w:rsidP="00B521C4">
      <w:pPr>
        <w:rPr>
          <w:bCs/>
          <w:sz w:val="24"/>
          <w:szCs w:val="48"/>
        </w:rPr>
      </w:pPr>
      <w:r>
        <w:rPr>
          <w:bCs/>
          <w:sz w:val="24"/>
          <w:szCs w:val="48"/>
        </w:rPr>
        <w:t>The Director of Communication and Operations (Education)</w:t>
      </w:r>
      <w:r w:rsidR="00B521C4" w:rsidRPr="00A010BC">
        <w:rPr>
          <w:bCs/>
          <w:sz w:val="24"/>
          <w:szCs w:val="48"/>
        </w:rPr>
        <w:t xml:space="preserve"> </w:t>
      </w:r>
      <w:r>
        <w:rPr>
          <w:bCs/>
          <w:sz w:val="24"/>
          <w:szCs w:val="48"/>
        </w:rPr>
        <w:t xml:space="preserve">has strategic responsibility for leading on careers education and </w:t>
      </w:r>
      <w:r w:rsidR="00B521C4" w:rsidRPr="00A010BC">
        <w:rPr>
          <w:bCs/>
          <w:sz w:val="24"/>
          <w:szCs w:val="48"/>
        </w:rPr>
        <w:t xml:space="preserve">manages the </w:t>
      </w:r>
      <w:r>
        <w:rPr>
          <w:bCs/>
          <w:sz w:val="24"/>
          <w:szCs w:val="48"/>
        </w:rPr>
        <w:t xml:space="preserve">overall </w:t>
      </w:r>
      <w:r w:rsidR="00B521C4" w:rsidRPr="00A010BC">
        <w:rPr>
          <w:bCs/>
          <w:sz w:val="24"/>
          <w:szCs w:val="48"/>
        </w:rPr>
        <w:t>careers programme</w:t>
      </w:r>
      <w:r>
        <w:rPr>
          <w:bCs/>
          <w:sz w:val="24"/>
          <w:szCs w:val="48"/>
        </w:rPr>
        <w:t>,</w:t>
      </w:r>
      <w:r w:rsidR="00B521C4" w:rsidRPr="00A010BC">
        <w:rPr>
          <w:bCs/>
          <w:sz w:val="24"/>
          <w:szCs w:val="48"/>
        </w:rPr>
        <w:t xml:space="preserve"> and is </w:t>
      </w:r>
      <w:r>
        <w:rPr>
          <w:bCs/>
          <w:sz w:val="24"/>
          <w:szCs w:val="48"/>
        </w:rPr>
        <w:t>accountable</w:t>
      </w:r>
      <w:r w:rsidR="00B521C4" w:rsidRPr="00A010BC">
        <w:rPr>
          <w:bCs/>
          <w:sz w:val="24"/>
          <w:szCs w:val="48"/>
        </w:rPr>
        <w:t xml:space="preserve"> to the Head</w:t>
      </w:r>
      <w:r>
        <w:rPr>
          <w:bCs/>
          <w:sz w:val="24"/>
          <w:szCs w:val="48"/>
        </w:rPr>
        <w:t xml:space="preserve"> T</w:t>
      </w:r>
      <w:r w:rsidR="00B521C4" w:rsidRPr="00A010BC">
        <w:rPr>
          <w:bCs/>
          <w:sz w:val="24"/>
          <w:szCs w:val="48"/>
        </w:rPr>
        <w:t>eache</w:t>
      </w:r>
      <w:r>
        <w:rPr>
          <w:bCs/>
          <w:sz w:val="24"/>
          <w:szCs w:val="48"/>
        </w:rPr>
        <w:t xml:space="preserve">r.  An Aspirations Leader supports the Director of Communication and Operations (Education) in managing and coordinating the </w:t>
      </w:r>
      <w:r w:rsidR="00B56DD9">
        <w:rPr>
          <w:bCs/>
          <w:sz w:val="24"/>
          <w:szCs w:val="48"/>
        </w:rPr>
        <w:t>CE</w:t>
      </w:r>
      <w:r w:rsidR="00AA0424">
        <w:rPr>
          <w:bCs/>
          <w:sz w:val="24"/>
          <w:szCs w:val="48"/>
        </w:rPr>
        <w:t xml:space="preserve">IAG provided to </w:t>
      </w:r>
      <w:r w:rsidR="00494B7C">
        <w:rPr>
          <w:bCs/>
          <w:sz w:val="24"/>
          <w:szCs w:val="48"/>
        </w:rPr>
        <w:t>learners</w:t>
      </w:r>
      <w:r w:rsidR="00B521C4" w:rsidRPr="00A010BC">
        <w:rPr>
          <w:bCs/>
          <w:sz w:val="24"/>
          <w:szCs w:val="48"/>
        </w:rPr>
        <w:t>. This area is</w:t>
      </w:r>
      <w:r w:rsidR="00AA0424">
        <w:rPr>
          <w:bCs/>
          <w:sz w:val="24"/>
          <w:szCs w:val="48"/>
        </w:rPr>
        <w:t xml:space="preserve"> also</w:t>
      </w:r>
      <w:r w:rsidR="00B521C4" w:rsidRPr="00A010BC">
        <w:rPr>
          <w:bCs/>
          <w:sz w:val="24"/>
          <w:szCs w:val="48"/>
        </w:rPr>
        <w:t xml:space="preserve"> sup</w:t>
      </w:r>
      <w:r w:rsidR="006342A3">
        <w:rPr>
          <w:bCs/>
          <w:sz w:val="24"/>
          <w:szCs w:val="48"/>
        </w:rPr>
        <w:t xml:space="preserve">ported by a link governor. The </w:t>
      </w:r>
      <w:r w:rsidR="00AA0424">
        <w:rPr>
          <w:bCs/>
          <w:sz w:val="24"/>
          <w:szCs w:val="48"/>
        </w:rPr>
        <w:t>Aspirations Leader</w:t>
      </w:r>
      <w:r w:rsidR="00B521C4" w:rsidRPr="00A010BC">
        <w:rPr>
          <w:bCs/>
          <w:sz w:val="24"/>
          <w:szCs w:val="48"/>
        </w:rPr>
        <w:t xml:space="preserve"> is also responsible for planning and implementing the work experience programme and coordinating vocational links across the curriculum in conjunction with the Assistant Head</w:t>
      </w:r>
      <w:r w:rsidR="00AA0424">
        <w:rPr>
          <w:bCs/>
          <w:sz w:val="24"/>
          <w:szCs w:val="48"/>
        </w:rPr>
        <w:t xml:space="preserve"> T</w:t>
      </w:r>
      <w:r w:rsidR="00B521C4" w:rsidRPr="00A010BC">
        <w:rPr>
          <w:bCs/>
          <w:sz w:val="24"/>
          <w:szCs w:val="48"/>
        </w:rPr>
        <w:t xml:space="preserve">eacher </w:t>
      </w:r>
      <w:r w:rsidR="00AA0424">
        <w:rPr>
          <w:bCs/>
          <w:sz w:val="24"/>
          <w:szCs w:val="48"/>
        </w:rPr>
        <w:t>for Quality of Education</w:t>
      </w:r>
      <w:r w:rsidR="00B25C12">
        <w:rPr>
          <w:bCs/>
          <w:sz w:val="24"/>
          <w:szCs w:val="48"/>
        </w:rPr>
        <w:t xml:space="preserve"> and </w:t>
      </w:r>
      <w:r w:rsidR="00AA0424">
        <w:rPr>
          <w:bCs/>
          <w:sz w:val="24"/>
          <w:szCs w:val="48"/>
        </w:rPr>
        <w:t>Curriculum Leaders</w:t>
      </w:r>
      <w:r w:rsidR="00B521C4" w:rsidRPr="00A010BC">
        <w:rPr>
          <w:bCs/>
          <w:sz w:val="24"/>
          <w:szCs w:val="48"/>
        </w:rPr>
        <w:t>.</w:t>
      </w:r>
    </w:p>
    <w:p w14:paraId="26E31A95" w14:textId="77777777" w:rsidR="00B521C4" w:rsidRPr="00A010BC" w:rsidRDefault="00B521C4" w:rsidP="00B521C4">
      <w:pPr>
        <w:rPr>
          <w:b/>
          <w:bCs/>
          <w:sz w:val="24"/>
          <w:szCs w:val="48"/>
        </w:rPr>
      </w:pPr>
      <w:r w:rsidRPr="00A010BC">
        <w:rPr>
          <w:b/>
          <w:bCs/>
          <w:sz w:val="24"/>
          <w:szCs w:val="48"/>
        </w:rPr>
        <w:t>Staffing</w:t>
      </w:r>
    </w:p>
    <w:p w14:paraId="717F9A0C" w14:textId="77777777" w:rsidR="00B521C4" w:rsidRPr="00A010BC" w:rsidRDefault="00B521C4" w:rsidP="00B521C4">
      <w:pPr>
        <w:rPr>
          <w:bCs/>
          <w:sz w:val="24"/>
          <w:szCs w:val="48"/>
        </w:rPr>
      </w:pPr>
      <w:r w:rsidRPr="00A010BC">
        <w:rPr>
          <w:bCs/>
          <w:sz w:val="24"/>
          <w:szCs w:val="48"/>
        </w:rPr>
        <w:t xml:space="preserve">All </w:t>
      </w:r>
      <w:r w:rsidR="00436A30">
        <w:rPr>
          <w:bCs/>
          <w:sz w:val="24"/>
          <w:szCs w:val="48"/>
        </w:rPr>
        <w:t xml:space="preserve">members of </w:t>
      </w:r>
      <w:r w:rsidRPr="00A010BC">
        <w:rPr>
          <w:bCs/>
          <w:sz w:val="24"/>
          <w:szCs w:val="48"/>
        </w:rPr>
        <w:t xml:space="preserve">staff </w:t>
      </w:r>
      <w:r w:rsidR="00436A30">
        <w:rPr>
          <w:bCs/>
          <w:sz w:val="24"/>
          <w:szCs w:val="48"/>
        </w:rPr>
        <w:t>contribute to</w:t>
      </w:r>
      <w:r w:rsidRPr="00A010BC">
        <w:rPr>
          <w:bCs/>
          <w:sz w:val="24"/>
          <w:szCs w:val="48"/>
        </w:rPr>
        <w:t xml:space="preserve"> CEIAG through their roles as tutors and subject teachers. The CEIAG programme is planned, </w:t>
      </w:r>
      <w:r w:rsidR="006342A3">
        <w:rPr>
          <w:bCs/>
          <w:sz w:val="24"/>
          <w:szCs w:val="48"/>
        </w:rPr>
        <w:t xml:space="preserve">monitored and evaluated by the </w:t>
      </w:r>
      <w:r w:rsidR="00AA0424">
        <w:rPr>
          <w:bCs/>
          <w:sz w:val="24"/>
          <w:szCs w:val="48"/>
        </w:rPr>
        <w:t>Director of Communication and Operations (Education)</w:t>
      </w:r>
      <w:r w:rsidRPr="00A010BC">
        <w:rPr>
          <w:bCs/>
          <w:sz w:val="24"/>
          <w:szCs w:val="48"/>
        </w:rPr>
        <w:t xml:space="preserve"> in consultation with the Senior Leadership Team. Careers information is available in the Learning Resource Centre which is maintained by the </w:t>
      </w:r>
      <w:r w:rsidR="00AA0424">
        <w:rPr>
          <w:bCs/>
          <w:sz w:val="24"/>
          <w:szCs w:val="48"/>
        </w:rPr>
        <w:t>Aspirations Leader, in t</w:t>
      </w:r>
      <w:r w:rsidR="006342A3">
        <w:rPr>
          <w:bCs/>
          <w:sz w:val="24"/>
          <w:szCs w:val="48"/>
        </w:rPr>
        <w:t xml:space="preserve">he </w:t>
      </w:r>
      <w:r w:rsidR="00AA0424">
        <w:rPr>
          <w:bCs/>
          <w:sz w:val="24"/>
          <w:szCs w:val="48"/>
        </w:rPr>
        <w:t>Careers’ Office and within the TEAMS platform</w:t>
      </w:r>
      <w:r w:rsidR="00436A30">
        <w:rPr>
          <w:bCs/>
          <w:sz w:val="24"/>
          <w:szCs w:val="48"/>
        </w:rPr>
        <w:t>. Administrative support is also</w:t>
      </w:r>
      <w:r w:rsidRPr="00A010BC">
        <w:rPr>
          <w:bCs/>
          <w:sz w:val="24"/>
          <w:szCs w:val="48"/>
        </w:rPr>
        <w:t xml:space="preserve"> made available.</w:t>
      </w:r>
    </w:p>
    <w:p w14:paraId="4745A8FB" w14:textId="77777777" w:rsidR="00B521C4" w:rsidRPr="00A010BC" w:rsidRDefault="00B521C4" w:rsidP="00B521C4">
      <w:pPr>
        <w:rPr>
          <w:b/>
          <w:bCs/>
          <w:sz w:val="24"/>
          <w:szCs w:val="48"/>
        </w:rPr>
      </w:pPr>
      <w:r w:rsidRPr="00A010BC">
        <w:rPr>
          <w:b/>
          <w:bCs/>
          <w:sz w:val="24"/>
          <w:szCs w:val="48"/>
        </w:rPr>
        <w:t>Curriculum</w:t>
      </w:r>
    </w:p>
    <w:p w14:paraId="5670914E" w14:textId="20219E62" w:rsidR="00B521C4" w:rsidRDefault="00B521C4" w:rsidP="00B521C4">
      <w:pPr>
        <w:rPr>
          <w:bCs/>
          <w:sz w:val="24"/>
          <w:szCs w:val="48"/>
        </w:rPr>
      </w:pPr>
      <w:r w:rsidRPr="00A010BC">
        <w:rPr>
          <w:bCs/>
          <w:sz w:val="24"/>
          <w:szCs w:val="48"/>
        </w:rPr>
        <w:t xml:space="preserve">The careers programme includes careers education sessions, career guidance activities (e.g. group work and individual interviews), information and research activities </w:t>
      </w:r>
      <w:r w:rsidR="00F21B11" w:rsidRPr="00A010BC">
        <w:rPr>
          <w:bCs/>
          <w:sz w:val="24"/>
          <w:szCs w:val="48"/>
        </w:rPr>
        <w:t>(using</w:t>
      </w:r>
      <w:r w:rsidRPr="00A010BC">
        <w:rPr>
          <w:bCs/>
          <w:sz w:val="24"/>
          <w:szCs w:val="48"/>
        </w:rPr>
        <w:t xml:space="preserve"> bespoke commercial careers packages), work related learning (including work experience), and individual progression planning. Career and </w:t>
      </w:r>
      <w:r w:rsidR="006142E0">
        <w:rPr>
          <w:bCs/>
          <w:sz w:val="24"/>
          <w:szCs w:val="48"/>
        </w:rPr>
        <w:t>e</w:t>
      </w:r>
      <w:r w:rsidRPr="00A010BC">
        <w:rPr>
          <w:bCs/>
          <w:sz w:val="24"/>
          <w:szCs w:val="48"/>
        </w:rPr>
        <w:t xml:space="preserve">nterprise activities are part of the </w:t>
      </w:r>
      <w:r w:rsidR="006142E0">
        <w:rPr>
          <w:bCs/>
          <w:sz w:val="24"/>
          <w:szCs w:val="48"/>
        </w:rPr>
        <w:t>academy</w:t>
      </w:r>
      <w:r w:rsidRPr="00A010BC">
        <w:rPr>
          <w:bCs/>
          <w:sz w:val="24"/>
          <w:szCs w:val="48"/>
        </w:rPr>
        <w:t xml:space="preserve">’s </w:t>
      </w:r>
      <w:r w:rsidR="006E4596">
        <w:rPr>
          <w:bCs/>
          <w:sz w:val="24"/>
          <w:szCs w:val="48"/>
        </w:rPr>
        <w:t>P</w:t>
      </w:r>
      <w:r w:rsidRPr="00A010BC">
        <w:rPr>
          <w:bCs/>
          <w:sz w:val="24"/>
          <w:szCs w:val="48"/>
        </w:rPr>
        <w:t xml:space="preserve">ersonal </w:t>
      </w:r>
      <w:r w:rsidR="006E4596">
        <w:rPr>
          <w:bCs/>
          <w:sz w:val="24"/>
          <w:szCs w:val="48"/>
        </w:rPr>
        <w:t>D</w:t>
      </w:r>
      <w:r w:rsidRPr="00A010BC">
        <w:rPr>
          <w:bCs/>
          <w:sz w:val="24"/>
          <w:szCs w:val="48"/>
        </w:rPr>
        <w:t xml:space="preserve">evelopment </w:t>
      </w:r>
      <w:r w:rsidR="006142E0">
        <w:rPr>
          <w:bCs/>
          <w:sz w:val="24"/>
          <w:szCs w:val="48"/>
        </w:rPr>
        <w:t xml:space="preserve">and </w:t>
      </w:r>
      <w:r w:rsidR="006E4596">
        <w:rPr>
          <w:bCs/>
          <w:sz w:val="24"/>
          <w:szCs w:val="48"/>
        </w:rPr>
        <w:t xml:space="preserve">Scholarship, Character and Community </w:t>
      </w:r>
      <w:r w:rsidRPr="00A010BC">
        <w:rPr>
          <w:bCs/>
          <w:sz w:val="24"/>
          <w:szCs w:val="48"/>
        </w:rPr>
        <w:t>programme</w:t>
      </w:r>
      <w:r w:rsidR="006E4596">
        <w:rPr>
          <w:bCs/>
          <w:sz w:val="24"/>
          <w:szCs w:val="48"/>
        </w:rPr>
        <w:t>s</w:t>
      </w:r>
      <w:r w:rsidRPr="00A010BC">
        <w:rPr>
          <w:bCs/>
          <w:sz w:val="24"/>
          <w:szCs w:val="48"/>
        </w:rPr>
        <w:t>. Other focused</w:t>
      </w:r>
      <w:r w:rsidR="00111C56">
        <w:rPr>
          <w:bCs/>
          <w:sz w:val="24"/>
          <w:szCs w:val="48"/>
        </w:rPr>
        <w:t xml:space="preserve"> events, e.g. a Careers </w:t>
      </w:r>
      <w:r w:rsidR="00F21B11">
        <w:rPr>
          <w:bCs/>
          <w:sz w:val="24"/>
          <w:szCs w:val="48"/>
        </w:rPr>
        <w:t>Fair,</w:t>
      </w:r>
      <w:r w:rsidR="00111C56">
        <w:rPr>
          <w:bCs/>
          <w:sz w:val="24"/>
          <w:szCs w:val="48"/>
        </w:rPr>
        <w:t xml:space="preserve"> v</w:t>
      </w:r>
      <w:r w:rsidRPr="00A010BC">
        <w:rPr>
          <w:bCs/>
          <w:sz w:val="24"/>
          <w:szCs w:val="48"/>
        </w:rPr>
        <w:t xml:space="preserve">isits by and to </w:t>
      </w:r>
      <w:r w:rsidR="003D2F80">
        <w:rPr>
          <w:bCs/>
          <w:sz w:val="24"/>
          <w:szCs w:val="48"/>
        </w:rPr>
        <w:t>e</w:t>
      </w:r>
      <w:r w:rsidRPr="00A010BC">
        <w:rPr>
          <w:bCs/>
          <w:sz w:val="24"/>
          <w:szCs w:val="48"/>
        </w:rPr>
        <w:t xml:space="preserve">mployers and </w:t>
      </w:r>
      <w:r w:rsidR="003D2F80">
        <w:rPr>
          <w:bCs/>
          <w:sz w:val="24"/>
          <w:szCs w:val="48"/>
        </w:rPr>
        <w:t>e</w:t>
      </w:r>
      <w:r w:rsidRPr="00A010BC">
        <w:rPr>
          <w:bCs/>
          <w:sz w:val="24"/>
          <w:szCs w:val="48"/>
        </w:rPr>
        <w:t xml:space="preserve">nterprise </w:t>
      </w:r>
      <w:r w:rsidR="003D2F80">
        <w:rPr>
          <w:bCs/>
          <w:sz w:val="24"/>
          <w:szCs w:val="48"/>
        </w:rPr>
        <w:t>d</w:t>
      </w:r>
      <w:r w:rsidRPr="00A010BC">
        <w:rPr>
          <w:bCs/>
          <w:sz w:val="24"/>
          <w:szCs w:val="48"/>
        </w:rPr>
        <w:t xml:space="preserve">ays </w:t>
      </w:r>
      <w:r w:rsidR="006342A3">
        <w:rPr>
          <w:bCs/>
          <w:sz w:val="24"/>
          <w:szCs w:val="48"/>
        </w:rPr>
        <w:t>are</w:t>
      </w:r>
      <w:r w:rsidRPr="00A010BC">
        <w:rPr>
          <w:bCs/>
          <w:sz w:val="24"/>
          <w:szCs w:val="48"/>
        </w:rPr>
        <w:t xml:space="preserve"> delivered at appropriate times in the curriculum and </w:t>
      </w:r>
      <w:r w:rsidR="00494B7C">
        <w:rPr>
          <w:bCs/>
          <w:sz w:val="24"/>
          <w:szCs w:val="48"/>
        </w:rPr>
        <w:t>learners</w:t>
      </w:r>
      <w:r w:rsidRPr="00A010BC">
        <w:rPr>
          <w:bCs/>
          <w:sz w:val="24"/>
          <w:szCs w:val="48"/>
        </w:rPr>
        <w:t xml:space="preserve"> are actively involved in the planning, delivery and evaluation of activities.</w:t>
      </w:r>
    </w:p>
    <w:p w14:paraId="37833B4C" w14:textId="3BEAB878" w:rsidR="00AA0424" w:rsidRPr="00A010BC" w:rsidRDefault="00AA0424" w:rsidP="00B521C4">
      <w:pPr>
        <w:rPr>
          <w:bCs/>
          <w:sz w:val="24"/>
          <w:szCs w:val="48"/>
        </w:rPr>
      </w:pPr>
      <w:r>
        <w:rPr>
          <w:bCs/>
          <w:sz w:val="24"/>
          <w:szCs w:val="48"/>
        </w:rPr>
        <w:t>Each curriculum department has an identified Careers Champion, who is responsible for promoting subject-specific careers education as well as monitoring and reporting on the careers</w:t>
      </w:r>
      <w:r w:rsidR="003D2F80">
        <w:rPr>
          <w:bCs/>
          <w:sz w:val="24"/>
          <w:szCs w:val="48"/>
        </w:rPr>
        <w:t>’</w:t>
      </w:r>
      <w:r>
        <w:rPr>
          <w:bCs/>
          <w:sz w:val="24"/>
          <w:szCs w:val="48"/>
        </w:rPr>
        <w:t xml:space="preserve"> education delivered each term to identified groups of </w:t>
      </w:r>
      <w:r w:rsidR="00494B7C">
        <w:rPr>
          <w:bCs/>
          <w:sz w:val="24"/>
          <w:szCs w:val="48"/>
        </w:rPr>
        <w:t>learners</w:t>
      </w:r>
      <w:r>
        <w:rPr>
          <w:bCs/>
          <w:sz w:val="24"/>
          <w:szCs w:val="48"/>
        </w:rPr>
        <w:t>.</w:t>
      </w:r>
    </w:p>
    <w:p w14:paraId="4086A3E8" w14:textId="77777777"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3"/>
        </w:rPr>
      </w:pPr>
      <w:r w:rsidRPr="00B521C4">
        <w:rPr>
          <w:rFonts w:cs="Calibri"/>
          <w:b/>
          <w:bCs/>
          <w:color w:val="000000"/>
          <w:sz w:val="24"/>
          <w:szCs w:val="23"/>
        </w:rPr>
        <w:t xml:space="preserve">Assessment and Accreditation </w:t>
      </w:r>
    </w:p>
    <w:p w14:paraId="084AD832" w14:textId="77777777"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color w:val="000000"/>
          <w:sz w:val="24"/>
          <w:szCs w:val="23"/>
        </w:rPr>
        <w:lastRenderedPageBreak/>
        <w:t>The intended career learning outcomes for learners are based on t</w:t>
      </w:r>
      <w:r w:rsidR="00111C56">
        <w:rPr>
          <w:rFonts w:cs="Calibri"/>
          <w:color w:val="000000"/>
          <w:sz w:val="24"/>
          <w:szCs w:val="23"/>
        </w:rPr>
        <w:t>he careers education framework 11</w:t>
      </w:r>
      <w:r w:rsidRPr="00B521C4">
        <w:rPr>
          <w:rFonts w:cs="Calibri"/>
          <w:color w:val="000000"/>
          <w:sz w:val="24"/>
          <w:szCs w:val="23"/>
        </w:rPr>
        <w:t>-19</w:t>
      </w:r>
      <w:r w:rsidR="00111C56">
        <w:rPr>
          <w:rFonts w:cs="Calibri"/>
          <w:color w:val="000000"/>
          <w:sz w:val="24"/>
          <w:szCs w:val="23"/>
        </w:rPr>
        <w:t>,</w:t>
      </w:r>
      <w:r w:rsidR="000F3453">
        <w:rPr>
          <w:rFonts w:cs="Calibri"/>
          <w:color w:val="000000"/>
          <w:sz w:val="24"/>
          <w:szCs w:val="23"/>
        </w:rPr>
        <w:t xml:space="preserve"> </w:t>
      </w:r>
      <w:r w:rsidR="006342A3">
        <w:rPr>
          <w:rFonts w:cs="Calibri"/>
          <w:color w:val="000000"/>
          <w:sz w:val="24"/>
          <w:szCs w:val="23"/>
        </w:rPr>
        <w:t>the statutory guidance and the ACEG framework</w:t>
      </w:r>
      <w:r w:rsidRPr="00B521C4">
        <w:rPr>
          <w:rFonts w:cs="Calibri"/>
          <w:color w:val="000000"/>
          <w:sz w:val="24"/>
          <w:szCs w:val="23"/>
        </w:rPr>
        <w:t xml:space="preserve">. </w:t>
      </w:r>
    </w:p>
    <w:p w14:paraId="3A54B2A2" w14:textId="77777777"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14:paraId="5E55BABB" w14:textId="77777777"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3"/>
        </w:rPr>
      </w:pPr>
      <w:r w:rsidRPr="00B521C4">
        <w:rPr>
          <w:rFonts w:cs="Calibri"/>
          <w:b/>
          <w:bCs/>
          <w:color w:val="000000"/>
          <w:sz w:val="24"/>
          <w:szCs w:val="23"/>
        </w:rPr>
        <w:t xml:space="preserve">Partnerships </w:t>
      </w:r>
    </w:p>
    <w:p w14:paraId="19E97586" w14:textId="3B7EBFE6"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color w:val="000000"/>
          <w:sz w:val="24"/>
          <w:szCs w:val="23"/>
        </w:rPr>
        <w:t xml:space="preserve">An annual Partnership Agreement is negotiated between the school </w:t>
      </w:r>
      <w:r w:rsidR="006342A3">
        <w:rPr>
          <w:rFonts w:cs="Calibri"/>
          <w:color w:val="000000"/>
          <w:sz w:val="24"/>
          <w:szCs w:val="23"/>
        </w:rPr>
        <w:t xml:space="preserve">and a </w:t>
      </w:r>
      <w:r w:rsidRPr="00B521C4">
        <w:rPr>
          <w:rFonts w:cs="Calibri"/>
          <w:color w:val="000000"/>
          <w:sz w:val="24"/>
          <w:szCs w:val="23"/>
        </w:rPr>
        <w:t>de</w:t>
      </w:r>
      <w:r w:rsidR="000F3453">
        <w:rPr>
          <w:rFonts w:cs="Calibri"/>
          <w:color w:val="000000"/>
          <w:sz w:val="24"/>
          <w:szCs w:val="23"/>
        </w:rPr>
        <w:t>signated impartial IAG provider</w:t>
      </w:r>
      <w:r w:rsidRPr="00B521C4">
        <w:rPr>
          <w:rFonts w:cs="Calibri"/>
          <w:color w:val="000000"/>
          <w:sz w:val="24"/>
          <w:szCs w:val="23"/>
        </w:rPr>
        <w:t xml:space="preserve"> which identifies the contributions to the programme that each will make. Other links are continually being developed, e.g. with local 14-19 partners, local employers and </w:t>
      </w:r>
      <w:r w:rsidR="00F22F7A">
        <w:rPr>
          <w:rFonts w:cs="Calibri"/>
          <w:color w:val="000000"/>
          <w:sz w:val="24"/>
          <w:szCs w:val="23"/>
        </w:rPr>
        <w:t>F</w:t>
      </w:r>
      <w:r w:rsidR="00AA0424">
        <w:rPr>
          <w:rFonts w:cs="Calibri"/>
          <w:color w:val="000000"/>
          <w:sz w:val="24"/>
          <w:szCs w:val="23"/>
        </w:rPr>
        <w:t xml:space="preserve">E/HE/training </w:t>
      </w:r>
      <w:r w:rsidRPr="00B521C4">
        <w:rPr>
          <w:rFonts w:cs="Calibri"/>
          <w:color w:val="000000"/>
          <w:sz w:val="24"/>
          <w:szCs w:val="23"/>
        </w:rPr>
        <w:t>providers.</w:t>
      </w:r>
    </w:p>
    <w:p w14:paraId="2C4E4423" w14:textId="77777777"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14:paraId="5198BDDE" w14:textId="77777777"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b/>
          <w:bCs/>
          <w:color w:val="000000"/>
          <w:sz w:val="24"/>
          <w:szCs w:val="23"/>
        </w:rPr>
        <w:t xml:space="preserve">Resources </w:t>
      </w:r>
    </w:p>
    <w:p w14:paraId="6BB8CE9A" w14:textId="77777777"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color w:val="000000"/>
          <w:sz w:val="24"/>
          <w:szCs w:val="23"/>
        </w:rPr>
        <w:t>Funding is allocated in the annual budget planning round in the context of whole school priorities and particular</w:t>
      </w:r>
      <w:r w:rsidR="006342A3">
        <w:rPr>
          <w:rFonts w:cs="Calibri"/>
          <w:color w:val="000000"/>
          <w:sz w:val="24"/>
          <w:szCs w:val="23"/>
        </w:rPr>
        <w:t xml:space="preserve"> needs in the CEIAG area. The </w:t>
      </w:r>
      <w:r w:rsidR="00AA0424">
        <w:rPr>
          <w:rFonts w:cs="Calibri"/>
          <w:color w:val="000000"/>
          <w:sz w:val="24"/>
          <w:szCs w:val="23"/>
        </w:rPr>
        <w:t>Director of Communication and Operations (Education)</w:t>
      </w:r>
      <w:r w:rsidRPr="00B521C4">
        <w:rPr>
          <w:rFonts w:cs="Calibri"/>
          <w:color w:val="000000"/>
          <w:sz w:val="24"/>
          <w:szCs w:val="23"/>
        </w:rPr>
        <w:t xml:space="preserve"> is responsible for the effective deployment of resources. Sources of external funding for activities are actively sought. </w:t>
      </w:r>
    </w:p>
    <w:p w14:paraId="2BDAEBCC" w14:textId="77777777"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14:paraId="0894C2B6" w14:textId="77777777"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b/>
          <w:bCs/>
          <w:color w:val="000000"/>
          <w:sz w:val="24"/>
          <w:szCs w:val="23"/>
        </w:rPr>
        <w:t xml:space="preserve">Staff Development </w:t>
      </w:r>
    </w:p>
    <w:p w14:paraId="4DFE6C2D" w14:textId="77777777"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color w:val="000000"/>
          <w:sz w:val="24"/>
          <w:szCs w:val="23"/>
        </w:rPr>
        <w:t xml:space="preserve">Staff training needs are identified in conjunction with the senior leadership team. The school endeavours to meet training needs within a reasonable period of time. </w:t>
      </w:r>
    </w:p>
    <w:p w14:paraId="3488CCB2" w14:textId="77777777"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14:paraId="7F21940A" w14:textId="77777777"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b/>
          <w:bCs/>
          <w:color w:val="000000"/>
          <w:sz w:val="24"/>
          <w:szCs w:val="23"/>
        </w:rPr>
        <w:t xml:space="preserve">Monitoring, </w:t>
      </w:r>
      <w:r w:rsidR="00AA0424">
        <w:rPr>
          <w:rFonts w:cs="Calibri"/>
          <w:b/>
          <w:bCs/>
          <w:color w:val="000000"/>
          <w:sz w:val="24"/>
          <w:szCs w:val="23"/>
        </w:rPr>
        <w:t>R</w:t>
      </w:r>
      <w:r w:rsidRPr="00B521C4">
        <w:rPr>
          <w:rFonts w:cs="Calibri"/>
          <w:b/>
          <w:bCs/>
          <w:color w:val="000000"/>
          <w:sz w:val="24"/>
          <w:szCs w:val="23"/>
        </w:rPr>
        <w:t xml:space="preserve">eview and </w:t>
      </w:r>
      <w:r w:rsidR="00AA0424">
        <w:rPr>
          <w:rFonts w:cs="Calibri"/>
          <w:b/>
          <w:bCs/>
          <w:color w:val="000000"/>
          <w:sz w:val="24"/>
          <w:szCs w:val="23"/>
        </w:rPr>
        <w:t>E</w:t>
      </w:r>
      <w:r w:rsidRPr="00B521C4">
        <w:rPr>
          <w:rFonts w:cs="Calibri"/>
          <w:b/>
          <w:bCs/>
          <w:color w:val="000000"/>
          <w:sz w:val="24"/>
          <w:szCs w:val="23"/>
        </w:rPr>
        <w:t xml:space="preserve">valuation </w:t>
      </w:r>
    </w:p>
    <w:p w14:paraId="4639397F" w14:textId="34F682A5"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color w:val="000000"/>
          <w:sz w:val="24"/>
          <w:szCs w:val="23"/>
        </w:rPr>
        <w:t>The Partnership Agreements with designated providers will be reviewed as agreed. The programme i</w:t>
      </w:r>
      <w:r w:rsidR="001E684D">
        <w:rPr>
          <w:rFonts w:cs="Calibri"/>
          <w:color w:val="000000"/>
          <w:sz w:val="24"/>
          <w:szCs w:val="23"/>
        </w:rPr>
        <w:t xml:space="preserve">s reviewed annually by the </w:t>
      </w:r>
      <w:r w:rsidR="00AA0424">
        <w:rPr>
          <w:rFonts w:cs="Calibri"/>
          <w:color w:val="000000"/>
          <w:sz w:val="24"/>
          <w:szCs w:val="23"/>
        </w:rPr>
        <w:t>Director of Communication and Operations (Education)</w:t>
      </w:r>
      <w:r w:rsidRPr="00B521C4">
        <w:rPr>
          <w:rFonts w:cs="Calibri"/>
          <w:color w:val="000000"/>
          <w:sz w:val="24"/>
          <w:szCs w:val="23"/>
        </w:rPr>
        <w:t xml:space="preserve"> and the quality standards for CEIAG will be used as a benchmark to identify areas for improvement. A report will be submitted to the senior leadership team and governors. Evaluation of different aspects of CEIAG will be undertaken regularly</w:t>
      </w:r>
      <w:r w:rsidR="00072735">
        <w:rPr>
          <w:rFonts w:cs="Calibri"/>
          <w:color w:val="000000"/>
          <w:sz w:val="24"/>
          <w:szCs w:val="23"/>
        </w:rPr>
        <w:t xml:space="preserve"> through </w:t>
      </w:r>
      <w:r w:rsidR="007F2C9F">
        <w:rPr>
          <w:rFonts w:cs="Calibri"/>
          <w:color w:val="000000"/>
          <w:sz w:val="24"/>
          <w:szCs w:val="23"/>
        </w:rPr>
        <w:t>stakeholder surveys.</w:t>
      </w:r>
    </w:p>
    <w:p w14:paraId="1C5F8C57" w14:textId="77777777" w:rsid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14:paraId="189798DC" w14:textId="77777777" w:rsidR="00BB277B" w:rsidRDefault="000F3453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3"/>
          <w:u w:val="single"/>
        </w:rPr>
      </w:pPr>
      <w:r>
        <w:rPr>
          <w:rFonts w:cs="Calibri"/>
          <w:b/>
          <w:color w:val="000000"/>
          <w:sz w:val="24"/>
          <w:szCs w:val="23"/>
          <w:u w:val="single"/>
        </w:rPr>
        <w:t>References</w:t>
      </w:r>
    </w:p>
    <w:p w14:paraId="0ACFECB1" w14:textId="77777777" w:rsidR="004A6BF4" w:rsidRDefault="00175510" w:rsidP="004A6BF4">
      <w:r>
        <w:t>(1) DfE (Jan 2018</w:t>
      </w:r>
      <w:r w:rsidR="004A6BF4">
        <w:t>) Careers guidance and inspiration in schools: Statutory guidance for governing bodies, school leaders and school staff</w:t>
      </w:r>
    </w:p>
    <w:p w14:paraId="65B801B0" w14:textId="77777777" w:rsidR="004A6BF4" w:rsidRDefault="004A6BF4" w:rsidP="004A6BF4">
      <w:r>
        <w:t>(2) DfE (April 2014) Careers guidance and inspiration in schools: Non-statutory departmental advice for governing bodies, school leaders and school staff</w:t>
      </w:r>
    </w:p>
    <w:p w14:paraId="5F25B067" w14:textId="77777777" w:rsidR="004A6BF4" w:rsidRDefault="004A6BF4" w:rsidP="004A6BF4">
      <w:r>
        <w:t>(3) HM Government (September 2013) Inspiration Vision Statement</w:t>
      </w:r>
    </w:p>
    <w:p w14:paraId="43ED35BC" w14:textId="77777777" w:rsidR="004A6BF4" w:rsidRDefault="004A6BF4" w:rsidP="004A6BF4">
      <w:r>
        <w:t>(4) Ofsted (September 2012) Going in the right direction? Careers guidance in schools from September 2012</w:t>
      </w:r>
    </w:p>
    <w:p w14:paraId="7E3350B9" w14:textId="77777777" w:rsidR="004A6BF4" w:rsidRDefault="004A6BF4" w:rsidP="004A6BF4">
      <w:r>
        <w:t>(5) Gatsby Charitable Foundation (May 2014) Good Career Guidance (a rep</w:t>
      </w:r>
      <w:r w:rsidR="000F3453">
        <w:t>ort produced by Sir John Holman)</w:t>
      </w:r>
    </w:p>
    <w:p w14:paraId="11ACCAD6" w14:textId="77777777" w:rsidR="004A6BF4" w:rsidRDefault="004A6BF4" w:rsidP="004A6BF4">
      <w:r>
        <w:t>(6) Association of Careers Education and Guidance (2012) The ACEG framework for careers and work-related education: A practical guide (Adopted by the Careers Develop</w:t>
      </w:r>
    </w:p>
    <w:p w14:paraId="2CEE3083" w14:textId="77777777" w:rsidR="00175510" w:rsidRDefault="00175510" w:rsidP="004A6BF4">
      <w:r>
        <w:t xml:space="preserve">(7) Careers Strategy – Making the most </w:t>
      </w:r>
      <w:r w:rsidR="00A65F30">
        <w:t xml:space="preserve">of everyone’s skills and talents (Dec 2018) </w:t>
      </w:r>
    </w:p>
    <w:p w14:paraId="48C7D0FB" w14:textId="77777777" w:rsidR="004A6BF4" w:rsidRDefault="004A6BF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3"/>
          <w:u w:val="single"/>
        </w:rPr>
      </w:pPr>
    </w:p>
    <w:p w14:paraId="34A8FA49" w14:textId="77777777" w:rsidR="004A6BF4" w:rsidRDefault="004A6BF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3"/>
          <w:u w:val="single"/>
        </w:rPr>
      </w:pPr>
    </w:p>
    <w:p w14:paraId="519698D6" w14:textId="77777777" w:rsidR="004A6BF4" w:rsidRDefault="004A6BF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3"/>
          <w:u w:val="single"/>
        </w:rPr>
      </w:pPr>
    </w:p>
    <w:p w14:paraId="19722D2D" w14:textId="77777777" w:rsidR="00BB277B" w:rsidRPr="00A010BC" w:rsidRDefault="00BB277B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14:paraId="4C3BCC3F" w14:textId="77777777" w:rsidR="00B521C4" w:rsidRDefault="000F3453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>
        <w:rPr>
          <w:rFonts w:cs="Calibri"/>
          <w:color w:val="000000"/>
          <w:sz w:val="24"/>
          <w:szCs w:val="23"/>
        </w:rPr>
        <w:t xml:space="preserve">Policy signed off by: </w:t>
      </w:r>
    </w:p>
    <w:p w14:paraId="2D176FDE" w14:textId="77777777" w:rsidR="000F3453" w:rsidRPr="00B521C4" w:rsidRDefault="000F3453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14:paraId="772B6F76" w14:textId="77777777"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color w:val="000000"/>
          <w:sz w:val="24"/>
          <w:szCs w:val="23"/>
        </w:rPr>
        <w:t xml:space="preserve">Chair of Curriculum Committee </w:t>
      </w:r>
    </w:p>
    <w:p w14:paraId="585FFD93" w14:textId="77777777"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14:paraId="758FC60B" w14:textId="77777777" w:rsidR="00B521C4" w:rsidRPr="00A010BC" w:rsidRDefault="000F3453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>
        <w:rPr>
          <w:rFonts w:cs="Calibri"/>
          <w:color w:val="000000"/>
          <w:sz w:val="24"/>
          <w:szCs w:val="23"/>
        </w:rPr>
        <w:t xml:space="preserve">Date: </w:t>
      </w:r>
    </w:p>
    <w:p w14:paraId="27AD8570" w14:textId="77777777"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14:paraId="46E4F3D3" w14:textId="77777777"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color w:val="000000"/>
          <w:sz w:val="24"/>
          <w:szCs w:val="23"/>
        </w:rPr>
        <w:t xml:space="preserve">Review date for school policy: </w:t>
      </w:r>
    </w:p>
    <w:p w14:paraId="586AD332" w14:textId="77777777" w:rsidR="00A65F30" w:rsidRDefault="00A65F30" w:rsidP="00A65F30">
      <w:pPr>
        <w:rPr>
          <w:rFonts w:cs="Calibri"/>
          <w:color w:val="000000"/>
          <w:sz w:val="24"/>
          <w:szCs w:val="23"/>
        </w:rPr>
      </w:pPr>
    </w:p>
    <w:p w14:paraId="1535146F" w14:textId="77777777" w:rsidR="00B521C4" w:rsidRPr="00A010BC" w:rsidRDefault="00B521C4" w:rsidP="00A65F30">
      <w:pPr>
        <w:rPr>
          <w:sz w:val="28"/>
        </w:rPr>
      </w:pPr>
      <w:r w:rsidRPr="00A010BC">
        <w:rPr>
          <w:rFonts w:cs="Calibri"/>
          <w:color w:val="000000"/>
          <w:sz w:val="24"/>
          <w:szCs w:val="23"/>
        </w:rPr>
        <w:t>Person responsible for policy: Deputy Headteacher Director of Curriculum and Assessment</w:t>
      </w:r>
    </w:p>
    <w:sectPr w:rsidR="00B521C4" w:rsidRPr="00A010BC" w:rsidSect="00B521C4"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409B" w14:textId="77777777" w:rsidR="00A55819" w:rsidRDefault="00A55819" w:rsidP="00B521C4">
      <w:pPr>
        <w:spacing w:after="0" w:line="240" w:lineRule="auto"/>
      </w:pPr>
      <w:r>
        <w:separator/>
      </w:r>
    </w:p>
  </w:endnote>
  <w:endnote w:type="continuationSeparator" w:id="0">
    <w:p w14:paraId="7D4E3E5D" w14:textId="77777777" w:rsidR="00A55819" w:rsidRDefault="00A55819" w:rsidP="00B5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CE64" w14:textId="77777777" w:rsidR="00B521C4" w:rsidRDefault="00B521C4" w:rsidP="00B521C4">
    <w:pPr>
      <w:pStyle w:val="Footer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D1BD" w14:textId="77777777" w:rsidR="00A55819" w:rsidRDefault="00A55819" w:rsidP="00B521C4">
      <w:pPr>
        <w:spacing w:after="0" w:line="240" w:lineRule="auto"/>
      </w:pPr>
      <w:r>
        <w:separator/>
      </w:r>
    </w:p>
  </w:footnote>
  <w:footnote w:type="continuationSeparator" w:id="0">
    <w:p w14:paraId="300B2F3A" w14:textId="77777777" w:rsidR="00A55819" w:rsidRDefault="00A55819" w:rsidP="00B52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C4"/>
    <w:rsid w:val="00072735"/>
    <w:rsid w:val="000D6648"/>
    <w:rsid w:val="000E1AB9"/>
    <w:rsid w:val="000F3453"/>
    <w:rsid w:val="00111C56"/>
    <w:rsid w:val="00171059"/>
    <w:rsid w:val="00175510"/>
    <w:rsid w:val="001E684D"/>
    <w:rsid w:val="00203261"/>
    <w:rsid w:val="00240A94"/>
    <w:rsid w:val="0028750F"/>
    <w:rsid w:val="002B708E"/>
    <w:rsid w:val="00312F2B"/>
    <w:rsid w:val="003D2F80"/>
    <w:rsid w:val="00436A30"/>
    <w:rsid w:val="004520E6"/>
    <w:rsid w:val="00494B7C"/>
    <w:rsid w:val="004A5759"/>
    <w:rsid w:val="004A6BF4"/>
    <w:rsid w:val="004C0229"/>
    <w:rsid w:val="006062BD"/>
    <w:rsid w:val="006142E0"/>
    <w:rsid w:val="006342A3"/>
    <w:rsid w:val="006408AC"/>
    <w:rsid w:val="006C1BD2"/>
    <w:rsid w:val="006C7A2D"/>
    <w:rsid w:val="006E4596"/>
    <w:rsid w:val="00751915"/>
    <w:rsid w:val="00771E4F"/>
    <w:rsid w:val="0077621A"/>
    <w:rsid w:val="007A3B14"/>
    <w:rsid w:val="007F2C9F"/>
    <w:rsid w:val="00824709"/>
    <w:rsid w:val="00930E45"/>
    <w:rsid w:val="009A0695"/>
    <w:rsid w:val="009E43CC"/>
    <w:rsid w:val="00A010BC"/>
    <w:rsid w:val="00A55819"/>
    <w:rsid w:val="00A65F30"/>
    <w:rsid w:val="00AA0424"/>
    <w:rsid w:val="00AE0C9F"/>
    <w:rsid w:val="00B15FAF"/>
    <w:rsid w:val="00B2563D"/>
    <w:rsid w:val="00B25C12"/>
    <w:rsid w:val="00B521C4"/>
    <w:rsid w:val="00B56DD9"/>
    <w:rsid w:val="00BB277B"/>
    <w:rsid w:val="00CB4D46"/>
    <w:rsid w:val="00D22CD4"/>
    <w:rsid w:val="00D66CDA"/>
    <w:rsid w:val="00E55374"/>
    <w:rsid w:val="00E844CC"/>
    <w:rsid w:val="00E91F2B"/>
    <w:rsid w:val="00EC4552"/>
    <w:rsid w:val="00ED5BDB"/>
    <w:rsid w:val="00F21B11"/>
    <w:rsid w:val="00F22F7A"/>
    <w:rsid w:val="00F5509E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3A624"/>
  <w15:docId w15:val="{02750577-3663-4E18-9BBC-A810DC1A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1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C4"/>
  </w:style>
  <w:style w:type="paragraph" w:styleId="Footer">
    <w:name w:val="footer"/>
    <w:basedOn w:val="Normal"/>
    <w:link w:val="FooterChar"/>
    <w:uiPriority w:val="99"/>
    <w:unhideWhenUsed/>
    <w:rsid w:val="00B52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3683-730A-4A7C-A993-4C245322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Gallagher</dc:creator>
  <cp:lastModifiedBy>Sobia Yousaf</cp:lastModifiedBy>
  <cp:revision>28</cp:revision>
  <dcterms:created xsi:type="dcterms:W3CDTF">2018-05-21T11:40:00Z</dcterms:created>
  <dcterms:modified xsi:type="dcterms:W3CDTF">2021-12-02T18:42:00Z</dcterms:modified>
</cp:coreProperties>
</file>